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left"/>
        <w:rPr>
          <w:rFonts w:hint="default" w:ascii="Times New Roman" w:hAnsi="Times New Roman" w:eastAsia="Times New Roman" w:cs="Times New Roman"/>
          <w:b/>
          <w:kern w:val="0"/>
          <w:sz w:val="21"/>
          <w:highlight w:val="yellow"/>
          <w:lang w:val="en-US"/>
        </w:rPr>
      </w:pPr>
      <w:r>
        <w:rPr>
          <w:rFonts w:hint="default" w:ascii="Times New Roman" w:hAnsi="Times New Roman" w:cs="Times New Roman"/>
          <w:b/>
          <w:kern w:val="0"/>
          <w:sz w:val="21"/>
        </w:rPr>
        <w:t>证券代码：000969</w:t>
      </w:r>
      <w:r>
        <w:rPr>
          <w:rFonts w:hint="default" w:ascii="Times New Roman" w:hAnsi="Times New Roman" w:eastAsia="Times New Roman" w:cs="Times New Roman"/>
          <w:b/>
          <w:kern w:val="0"/>
          <w:sz w:val="21"/>
        </w:rPr>
        <w:t xml:space="preserve"> </w:t>
      </w:r>
      <w:r>
        <w:rPr>
          <w:rFonts w:hint="default" w:ascii="Times New Roman" w:hAnsi="Times New Roman" w:cs="Times New Roman"/>
          <w:b/>
          <w:kern w:val="0"/>
          <w:sz w:val="21"/>
          <w:lang w:val="en-US" w:eastAsia="zh-CN"/>
        </w:rPr>
        <w:t xml:space="preserve">            </w:t>
      </w:r>
      <w:r>
        <w:rPr>
          <w:rFonts w:hint="default" w:ascii="Times New Roman" w:hAnsi="Times New Roman" w:cs="Times New Roman"/>
          <w:b/>
          <w:kern w:val="0"/>
          <w:sz w:val="21"/>
        </w:rPr>
        <w:t xml:space="preserve">证券简称：安泰科技    </w:t>
      </w:r>
      <w:r>
        <w:rPr>
          <w:rFonts w:hint="default" w:ascii="Times New Roman" w:hAnsi="Times New Roman" w:cs="Times New Roman"/>
          <w:b/>
          <w:kern w:val="0"/>
          <w:sz w:val="21"/>
          <w:lang w:val="en-US" w:eastAsia="zh-CN"/>
        </w:rPr>
        <w:t xml:space="preserve">     </w:t>
      </w:r>
      <w:r>
        <w:rPr>
          <w:rFonts w:hint="default" w:ascii="Times New Roman" w:hAnsi="Times New Roman" w:cs="Times New Roman"/>
          <w:b/>
          <w:kern w:val="0"/>
          <w:sz w:val="21"/>
          <w:highlight w:val="none"/>
          <w:lang w:val="en-US" w:eastAsia="zh-CN"/>
        </w:rPr>
        <w:t xml:space="preserve">   </w:t>
      </w:r>
      <w:r>
        <w:rPr>
          <w:rFonts w:hint="default" w:ascii="Times New Roman" w:hAnsi="Times New Roman" w:eastAsia="Times New Roman" w:cs="Times New Roman"/>
          <w:b/>
          <w:kern w:val="0"/>
          <w:sz w:val="21"/>
          <w:highlight w:val="none"/>
        </w:rPr>
        <w:t xml:space="preserve"> </w:t>
      </w:r>
      <w:r>
        <w:rPr>
          <w:rFonts w:hint="default" w:ascii="Times New Roman" w:hAnsi="Times New Roman" w:cs="Times New Roman"/>
          <w:b/>
          <w:kern w:val="0"/>
          <w:sz w:val="21"/>
          <w:highlight w:val="none"/>
        </w:rPr>
        <w:t>公告编号：201</w:t>
      </w:r>
      <w:r>
        <w:rPr>
          <w:rFonts w:hint="default" w:ascii="Times New Roman" w:hAnsi="Times New Roman" w:cs="Times New Roman"/>
          <w:b/>
          <w:kern w:val="0"/>
          <w:sz w:val="21"/>
          <w:highlight w:val="none"/>
          <w:lang w:val="en-US" w:eastAsia="zh-CN"/>
        </w:rPr>
        <w:t>8</w:t>
      </w:r>
      <w:r>
        <w:rPr>
          <w:rFonts w:hint="default" w:ascii="Times New Roman" w:hAnsi="Times New Roman" w:eastAsia="Times New Roman" w:cs="Times New Roman"/>
          <w:b/>
          <w:kern w:val="0"/>
          <w:sz w:val="21"/>
          <w:highlight w:val="none"/>
        </w:rPr>
        <w:t>-</w:t>
      </w:r>
      <w:r>
        <w:rPr>
          <w:rFonts w:hint="default" w:ascii="Times New Roman" w:hAnsi="Times New Roman" w:cs="Times New Roman"/>
          <w:b/>
          <w:kern w:val="0"/>
          <w:sz w:val="21"/>
          <w:highlight w:val="none"/>
          <w:lang w:val="en-US" w:eastAsia="zh-CN"/>
        </w:rPr>
        <w:t>063</w:t>
      </w:r>
    </w:p>
    <w:p>
      <w:pPr>
        <w:autoSpaceDE w:val="0"/>
        <w:autoSpaceDN w:val="0"/>
        <w:adjustRightInd w:val="0"/>
        <w:spacing w:line="480" w:lineRule="auto"/>
        <w:jc w:val="center"/>
        <w:rPr>
          <w:rFonts w:hint="default" w:ascii="Times New Roman" w:hAnsi="Times New Roman" w:eastAsia="Times New Roman" w:cs="Times New Roman"/>
          <w:kern w:val="0"/>
          <w:sz w:val="30"/>
        </w:rPr>
      </w:pPr>
    </w:p>
    <w:p>
      <w:pPr>
        <w:spacing w:line="360" w:lineRule="auto"/>
        <w:jc w:val="center"/>
        <w:rPr>
          <w:rFonts w:hint="default" w:ascii="Times New Roman" w:hAnsi="Times New Roman" w:eastAsia="黑体" w:cs="Times New Roman"/>
          <w:b/>
          <w:sz w:val="32"/>
        </w:rPr>
      </w:pPr>
      <w:r>
        <w:rPr>
          <w:rFonts w:hint="default" w:ascii="Times New Roman" w:hAnsi="Times New Roman" w:eastAsia="黑体" w:cs="Times New Roman"/>
          <w:b/>
          <w:sz w:val="32"/>
        </w:rPr>
        <w:t>安泰科技股份有限公司</w:t>
      </w:r>
      <w:bookmarkStart w:id="0" w:name="OLE_LINK1"/>
      <w:bookmarkStart w:id="1" w:name="OLE_LINK2"/>
    </w:p>
    <w:p>
      <w:pPr>
        <w:spacing w:line="360" w:lineRule="auto"/>
        <w:jc w:val="center"/>
        <w:rPr>
          <w:rFonts w:hint="default" w:ascii="Times New Roman" w:hAnsi="Times New Roman" w:eastAsia="黑体" w:cs="Times New Roman"/>
          <w:b/>
          <w:sz w:val="32"/>
        </w:rPr>
      </w:pPr>
      <w:r>
        <w:rPr>
          <w:rFonts w:hint="default" w:ascii="Times New Roman" w:hAnsi="Times New Roman" w:eastAsia="黑体" w:cs="Times New Roman"/>
          <w:b/>
          <w:sz w:val="32"/>
        </w:rPr>
        <w:t>关于计提2018年度前三季度资产减值准备的公告</w:t>
      </w:r>
    </w:p>
    <w:bookmarkEnd w:id="0"/>
    <w:bookmarkEnd w:id="1"/>
    <w:p>
      <w:pPr>
        <w:ind w:firstLine="422" w:firstLineChars="200"/>
        <w:rPr>
          <w:rFonts w:hint="default" w:ascii="Times New Roman" w:hAnsi="Times New Roman" w:cs="Times New Roman"/>
          <w:b/>
          <w:bCs/>
          <w:szCs w:val="21"/>
        </w:rPr>
      </w:pPr>
    </w:p>
    <w:p>
      <w:pPr>
        <w:ind w:firstLine="422" w:firstLineChars="200"/>
        <w:rPr>
          <w:rFonts w:hint="default" w:ascii="Times New Roman" w:hAnsi="Times New Roman" w:cs="Times New Roman"/>
          <w:b/>
          <w:bCs/>
          <w:szCs w:val="21"/>
        </w:rPr>
      </w:pPr>
      <w:r>
        <w:rPr>
          <w:rFonts w:hint="default" w:ascii="Times New Roman" w:hAnsi="Times New Roman" w:cs="Times New Roman"/>
          <w:b/>
          <w:bCs/>
          <w:szCs w:val="21"/>
        </w:rPr>
        <w:t>本公司及董事会全体成员保证信息披露的内容真实、准确、完整，没有虚假记载、误导性陈述或重大遗漏。</w:t>
      </w:r>
    </w:p>
    <w:p>
      <w:pPr>
        <w:autoSpaceDE w:val="0"/>
        <w:autoSpaceDN w:val="0"/>
        <w:adjustRightInd w:val="0"/>
        <w:spacing w:line="600" w:lineRule="auto"/>
        <w:jc w:val="left"/>
        <w:rPr>
          <w:rFonts w:hint="default" w:ascii="Times New Roman" w:hAnsi="Times New Roman" w:eastAsia="Times New Roman" w:cs="Times New Roman"/>
          <w:kern w:val="0"/>
          <w:sz w:val="24"/>
        </w:rPr>
      </w:pP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释义：</w:t>
      </w: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除非另有说明，以下简称在本公告中含义如下：</w:t>
      </w: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安泰科技、公司、本公司：安泰科技股份有限公司</w:t>
      </w:r>
    </w:p>
    <w:p>
      <w:pPr>
        <w:spacing w:line="360" w:lineRule="auto"/>
        <w:ind w:firstLine="480"/>
        <w:rPr>
          <w:rFonts w:hint="default" w:ascii="Times New Roman" w:hAnsi="Times New Roman" w:cs="Times New Roman"/>
          <w:sz w:val="24"/>
        </w:rPr>
      </w:pPr>
    </w:p>
    <w:p>
      <w:pPr>
        <w:spacing w:line="360" w:lineRule="auto"/>
        <w:ind w:firstLine="480"/>
        <w:rPr>
          <w:rFonts w:hint="default" w:ascii="Times New Roman" w:hAnsi="Times New Roman" w:cs="Times New Roman"/>
          <w:sz w:val="24"/>
        </w:rPr>
      </w:pPr>
      <w:r>
        <w:rPr>
          <w:rFonts w:hint="default" w:ascii="Times New Roman" w:hAnsi="Times New Roman" w:cs="Times New Roman"/>
          <w:sz w:val="24"/>
          <w:lang w:val="en-US" w:eastAsia="zh-CN"/>
        </w:rPr>
        <w:t>公司</w:t>
      </w:r>
      <w:r>
        <w:rPr>
          <w:rFonts w:hint="default" w:ascii="Times New Roman" w:hAnsi="Times New Roman" w:cs="Times New Roman"/>
          <w:sz w:val="24"/>
        </w:rPr>
        <w:t>第</w:t>
      </w:r>
      <w:r>
        <w:rPr>
          <w:rFonts w:hint="default" w:ascii="Times New Roman" w:hAnsi="Times New Roman" w:cs="Times New Roman"/>
          <w:sz w:val="24"/>
          <w:lang w:val="en-US" w:eastAsia="zh-CN"/>
        </w:rPr>
        <w:t>七</w:t>
      </w:r>
      <w:r>
        <w:rPr>
          <w:rFonts w:hint="default" w:ascii="Times New Roman" w:hAnsi="Times New Roman" w:cs="Times New Roman"/>
          <w:sz w:val="24"/>
        </w:rPr>
        <w:t>届董事会第</w:t>
      </w:r>
      <w:r>
        <w:rPr>
          <w:rFonts w:hint="default" w:ascii="Times New Roman" w:hAnsi="Times New Roman" w:cs="Times New Roman"/>
          <w:sz w:val="24"/>
          <w:lang w:val="en-US" w:eastAsia="zh-CN"/>
        </w:rPr>
        <w:t>七</w:t>
      </w:r>
      <w:r>
        <w:rPr>
          <w:rFonts w:hint="default" w:ascii="Times New Roman" w:hAnsi="Times New Roman" w:cs="Times New Roman"/>
          <w:sz w:val="24"/>
        </w:rPr>
        <w:t>次会议审议通过《安泰科技关于计提2018年度前三季度资产减值准备的议案》。根据中国证监会《关于进一步提高上市公司财务信息披露质量的通知》、《深圳证券交易所股票上市规则》等关于资产减值准备有关事项的规定，本</w:t>
      </w:r>
      <w:r>
        <w:rPr>
          <w:rFonts w:hint="default" w:ascii="Times New Roman" w:hAnsi="Times New Roman" w:cs="Times New Roman"/>
          <w:sz w:val="24"/>
          <w:lang w:val="en-US" w:eastAsia="zh-CN"/>
        </w:rPr>
        <w:t>事项</w:t>
      </w:r>
      <w:r>
        <w:rPr>
          <w:rFonts w:hint="default" w:ascii="Times New Roman" w:hAnsi="Times New Roman" w:cs="Times New Roman"/>
          <w:sz w:val="24"/>
        </w:rPr>
        <w:t>尚需提交公司股东大会审议</w:t>
      </w:r>
      <w:r>
        <w:rPr>
          <w:rFonts w:hint="default" w:ascii="Times New Roman" w:hAnsi="Times New Roman" w:cs="Times New Roman"/>
          <w:sz w:val="24"/>
          <w:lang w:eastAsia="zh-CN"/>
        </w:rPr>
        <w:t>，</w:t>
      </w:r>
      <w:r>
        <w:rPr>
          <w:rFonts w:hint="default" w:ascii="Times New Roman" w:hAnsi="Times New Roman" w:cs="Times New Roman"/>
          <w:sz w:val="24"/>
        </w:rPr>
        <w:t>现将资产计提有关情况公告如下：</w:t>
      </w:r>
    </w:p>
    <w:p>
      <w:pPr>
        <w:spacing w:line="240" w:lineRule="auto"/>
        <w:ind w:firstLine="480"/>
        <w:rPr>
          <w:rFonts w:hint="default" w:ascii="Times New Roman" w:hAnsi="Times New Roman" w:cs="Times New Roman"/>
          <w:sz w:val="24"/>
        </w:rPr>
      </w:pPr>
    </w:p>
    <w:p>
      <w:pPr>
        <w:spacing w:line="360" w:lineRule="auto"/>
        <w:ind w:firstLine="480"/>
        <w:rPr>
          <w:rFonts w:hint="default" w:ascii="Times New Roman" w:hAnsi="Times New Roman" w:cs="Times New Roman"/>
          <w:b/>
          <w:sz w:val="24"/>
        </w:rPr>
      </w:pPr>
      <w:r>
        <w:rPr>
          <w:rFonts w:hint="default" w:ascii="Times New Roman" w:hAnsi="Times New Roman" w:cs="Times New Roman"/>
          <w:b/>
          <w:sz w:val="24"/>
        </w:rPr>
        <w:t xml:space="preserve">一、计提资产减值准备情况概述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sz w:val="24"/>
        </w:rPr>
      </w:pPr>
      <w:r>
        <w:rPr>
          <w:rFonts w:hint="default" w:ascii="Times New Roman" w:hAnsi="Times New Roman" w:eastAsia="宋体" w:cs="Times New Roman"/>
          <w:b/>
          <w:sz w:val="24"/>
        </w:rPr>
        <w:t xml:space="preserve">（一）计提资产减值准备的原因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公司除按照《企业会计准则》及公司会计政策的相关规定，对截止2018年9月30日的应收款项、存货等计提坏账准备和存货跌价准备外，按照国资委要求，积极推动处僵治困工作，对扭亏困难的焊接业务生产线采取停产措施，并聘请中介机构对相关资产进行审计、评估，根据减值测试结果，对相关资产计提减值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宋体" w:cs="Times New Roman"/>
          <w:sz w:val="24"/>
          <w:highlight w:val="none"/>
          <w:lang w:eastAsia="zh-CN"/>
        </w:rPr>
      </w:pPr>
    </w:p>
    <w:p>
      <w:pPr>
        <w:spacing w:line="360" w:lineRule="auto"/>
        <w:ind w:firstLine="562" w:firstLineChars="200"/>
        <w:outlineLvl w:val="1"/>
        <w:rPr>
          <w:rFonts w:hint="default" w:ascii="Times New Roman" w:hAnsi="Times New Roman" w:cs="Times New Roman"/>
          <w:b/>
          <w:bCs/>
          <w:sz w:val="28"/>
          <w:szCs w:val="28"/>
        </w:rPr>
      </w:pPr>
      <w:r>
        <w:rPr>
          <w:rFonts w:hint="default" w:ascii="Times New Roman" w:hAnsi="Times New Roman" w:cs="Times New Roman"/>
          <w:b/>
          <w:bCs/>
          <w:sz w:val="28"/>
          <w:szCs w:val="28"/>
        </w:rPr>
        <w:t>（二）本次计提减值准备的具体情况</w:t>
      </w:r>
    </w:p>
    <w:p>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公司及下属子公司截止2018年9月30日计提的资产减值准备情况如下：</w:t>
      </w:r>
    </w:p>
    <w:p>
      <w:pPr>
        <w:spacing w:line="360" w:lineRule="auto"/>
        <w:ind w:firstLine="560" w:firstLineChars="200"/>
        <w:rPr>
          <w:rFonts w:hint="default" w:ascii="Times New Roman" w:hAnsi="Times New Roman" w:cs="Times New Roman"/>
          <w:sz w:val="28"/>
          <w:szCs w:val="28"/>
        </w:rPr>
      </w:pPr>
    </w:p>
    <w:tbl>
      <w:tblPr>
        <w:tblStyle w:val="7"/>
        <w:tblW w:w="10622" w:type="dxa"/>
        <w:tblInd w:w="-1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90"/>
        <w:gridCol w:w="1410"/>
        <w:gridCol w:w="1300"/>
        <w:gridCol w:w="1283"/>
        <w:gridCol w:w="657"/>
        <w:gridCol w:w="125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79" w:type="dxa"/>
            <w:vMerge w:val="restart"/>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项目</w:t>
            </w:r>
          </w:p>
        </w:tc>
        <w:tc>
          <w:tcPr>
            <w:tcW w:w="1390" w:type="dxa"/>
            <w:vMerge w:val="restart"/>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期初余额</w:t>
            </w:r>
          </w:p>
        </w:tc>
        <w:tc>
          <w:tcPr>
            <w:tcW w:w="1410" w:type="dxa"/>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本期增加</w:t>
            </w:r>
          </w:p>
        </w:tc>
        <w:tc>
          <w:tcPr>
            <w:tcW w:w="4495" w:type="dxa"/>
            <w:gridSpan w:val="4"/>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本期减少</w:t>
            </w:r>
          </w:p>
        </w:tc>
        <w:tc>
          <w:tcPr>
            <w:tcW w:w="1348" w:type="dxa"/>
            <w:vMerge w:val="restart"/>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期末余额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79" w:type="dxa"/>
            <w:vMerge w:val="continue"/>
            <w:shd w:val="clear" w:color="auto" w:fill="D7D7D7" w:themeFill="background1" w:themeFillShade="D8"/>
            <w:vAlign w:val="center"/>
          </w:tcPr>
          <w:p>
            <w:pPr>
              <w:widowControl/>
              <w:spacing w:line="240" w:lineRule="auto"/>
              <w:jc w:val="left"/>
              <w:rPr>
                <w:rFonts w:hint="default" w:ascii="Times New Roman" w:hAnsi="Times New Roman" w:cs="Times New Roman"/>
                <w:color w:val="000000"/>
                <w:kern w:val="0"/>
                <w:sz w:val="21"/>
                <w:szCs w:val="21"/>
              </w:rPr>
            </w:pPr>
          </w:p>
        </w:tc>
        <w:tc>
          <w:tcPr>
            <w:tcW w:w="1390" w:type="dxa"/>
            <w:vMerge w:val="continue"/>
            <w:vAlign w:val="center"/>
          </w:tcPr>
          <w:p>
            <w:pPr>
              <w:widowControl/>
              <w:spacing w:line="240" w:lineRule="auto"/>
              <w:jc w:val="left"/>
              <w:rPr>
                <w:rFonts w:hint="default" w:ascii="Times New Roman" w:hAnsi="Times New Roman" w:cs="Times New Roman"/>
                <w:color w:val="000000"/>
                <w:kern w:val="0"/>
                <w:sz w:val="21"/>
                <w:szCs w:val="21"/>
              </w:rPr>
            </w:pPr>
          </w:p>
        </w:tc>
        <w:tc>
          <w:tcPr>
            <w:tcW w:w="1410" w:type="dxa"/>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本期计提</w:t>
            </w:r>
          </w:p>
        </w:tc>
        <w:tc>
          <w:tcPr>
            <w:tcW w:w="1300" w:type="dxa"/>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转销</w:t>
            </w:r>
          </w:p>
        </w:tc>
        <w:tc>
          <w:tcPr>
            <w:tcW w:w="1283" w:type="dxa"/>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合并减少</w:t>
            </w:r>
          </w:p>
        </w:tc>
        <w:tc>
          <w:tcPr>
            <w:tcW w:w="657" w:type="dxa"/>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其他减少</w:t>
            </w:r>
          </w:p>
        </w:tc>
        <w:tc>
          <w:tcPr>
            <w:tcW w:w="1255" w:type="dxa"/>
            <w:shd w:val="clear" w:color="auto" w:fill="D7D7D7" w:themeFill="background1" w:themeFillShade="D8"/>
            <w:vAlign w:val="center"/>
          </w:tcPr>
          <w:p>
            <w:pPr>
              <w:widowControl/>
              <w:spacing w:line="240" w:lineRule="auto"/>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合计</w:t>
            </w:r>
          </w:p>
        </w:tc>
        <w:tc>
          <w:tcPr>
            <w:tcW w:w="1348" w:type="dxa"/>
            <w:vMerge w:val="continue"/>
            <w:vAlign w:val="center"/>
          </w:tcPr>
          <w:p>
            <w:pPr>
              <w:widowControl/>
              <w:spacing w:line="240" w:lineRule="auto"/>
              <w:jc w:val="left"/>
              <w:rPr>
                <w:rFonts w:hint="default" w:ascii="Times New Roman" w:hAnsi="Times New Roman"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79" w:type="dxa"/>
            <w:shd w:val="clear" w:color="auto" w:fill="D7D7D7" w:themeFill="background1" w:themeFillShade="D8"/>
            <w:vAlign w:val="center"/>
          </w:tcPr>
          <w:p>
            <w:pPr>
              <w:widowControl/>
              <w:spacing w:line="240" w:lineRule="auto"/>
              <w:jc w:val="lef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一、坏账准备</w:t>
            </w:r>
          </w:p>
        </w:tc>
        <w:tc>
          <w:tcPr>
            <w:tcW w:w="139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224,402,649.05</w:t>
            </w:r>
          </w:p>
        </w:tc>
        <w:tc>
          <w:tcPr>
            <w:tcW w:w="141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58,485,516.52</w:t>
            </w:r>
          </w:p>
        </w:tc>
        <w:tc>
          <w:tcPr>
            <w:tcW w:w="1300" w:type="dxa"/>
            <w:vAlign w:val="center"/>
          </w:tcPr>
          <w:p>
            <w:pPr>
              <w:spacing w:line="240" w:lineRule="auto"/>
              <w:jc w:val="right"/>
              <w:rPr>
                <w:rFonts w:hint="default" w:ascii="Times New Roman" w:hAnsi="Times New Roman" w:cs="Times New Roman"/>
                <w:color w:val="000000"/>
                <w:kern w:val="0"/>
                <w:sz w:val="21"/>
                <w:szCs w:val="21"/>
              </w:rPr>
            </w:pPr>
          </w:p>
        </w:tc>
        <w:tc>
          <w:tcPr>
            <w:tcW w:w="1283"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2,461,763.95</w:t>
            </w:r>
          </w:p>
        </w:tc>
        <w:tc>
          <w:tcPr>
            <w:tcW w:w="657" w:type="dxa"/>
            <w:vAlign w:val="center"/>
          </w:tcPr>
          <w:p>
            <w:pPr>
              <w:spacing w:line="240" w:lineRule="auto"/>
              <w:jc w:val="right"/>
              <w:rPr>
                <w:rFonts w:hint="default" w:ascii="Times New Roman" w:hAnsi="Times New Roman" w:cs="Times New Roman"/>
                <w:color w:val="000000"/>
                <w:kern w:val="0"/>
                <w:sz w:val="21"/>
                <w:szCs w:val="21"/>
              </w:rPr>
            </w:pPr>
          </w:p>
        </w:tc>
        <w:tc>
          <w:tcPr>
            <w:tcW w:w="1255"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2,461,763.95</w:t>
            </w:r>
          </w:p>
        </w:tc>
        <w:tc>
          <w:tcPr>
            <w:tcW w:w="1348"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280,426,401.62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79" w:type="dxa"/>
            <w:shd w:val="clear" w:color="auto" w:fill="D7D7D7" w:themeFill="background1" w:themeFillShade="D8"/>
            <w:vAlign w:val="center"/>
          </w:tcPr>
          <w:p>
            <w:pPr>
              <w:widowControl/>
              <w:spacing w:line="240" w:lineRule="auto"/>
              <w:jc w:val="lef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二、存货跌价准备</w:t>
            </w:r>
          </w:p>
        </w:tc>
        <w:tc>
          <w:tcPr>
            <w:tcW w:w="139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69,429,382.29</w:t>
            </w:r>
          </w:p>
        </w:tc>
        <w:tc>
          <w:tcPr>
            <w:tcW w:w="141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6,198,224.55</w:t>
            </w:r>
          </w:p>
        </w:tc>
        <w:tc>
          <w:tcPr>
            <w:tcW w:w="130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12,613,246.72</w:t>
            </w:r>
          </w:p>
        </w:tc>
        <w:tc>
          <w:tcPr>
            <w:tcW w:w="1283" w:type="dxa"/>
            <w:vAlign w:val="center"/>
          </w:tcPr>
          <w:p>
            <w:pPr>
              <w:spacing w:line="240" w:lineRule="auto"/>
              <w:jc w:val="right"/>
              <w:rPr>
                <w:rFonts w:hint="default" w:ascii="Times New Roman" w:hAnsi="Times New Roman" w:cs="Times New Roman"/>
                <w:color w:val="000000"/>
                <w:kern w:val="0"/>
                <w:sz w:val="21"/>
                <w:szCs w:val="21"/>
              </w:rPr>
            </w:pPr>
          </w:p>
        </w:tc>
        <w:tc>
          <w:tcPr>
            <w:tcW w:w="657" w:type="dxa"/>
            <w:vAlign w:val="center"/>
          </w:tcPr>
          <w:p>
            <w:pPr>
              <w:spacing w:line="240" w:lineRule="auto"/>
              <w:jc w:val="right"/>
              <w:rPr>
                <w:rFonts w:hint="default" w:ascii="Times New Roman" w:hAnsi="Times New Roman" w:cs="Times New Roman"/>
                <w:color w:val="000000"/>
                <w:kern w:val="0"/>
                <w:sz w:val="21"/>
                <w:szCs w:val="21"/>
              </w:rPr>
            </w:pPr>
          </w:p>
        </w:tc>
        <w:tc>
          <w:tcPr>
            <w:tcW w:w="1255"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12,613,246.72</w:t>
            </w:r>
          </w:p>
        </w:tc>
        <w:tc>
          <w:tcPr>
            <w:tcW w:w="1348"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63,014,360.12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9" w:type="dxa"/>
            <w:shd w:val="clear" w:color="auto" w:fill="D7D7D7" w:themeFill="background1" w:themeFillShade="D8"/>
            <w:vAlign w:val="center"/>
          </w:tcPr>
          <w:p>
            <w:pPr>
              <w:widowControl/>
              <w:spacing w:line="240" w:lineRule="auto"/>
              <w:jc w:val="lef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三、可供出售金融资产减值准备</w:t>
            </w:r>
          </w:p>
        </w:tc>
        <w:tc>
          <w:tcPr>
            <w:tcW w:w="139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58,317,637.41</w:t>
            </w:r>
          </w:p>
        </w:tc>
        <w:tc>
          <w:tcPr>
            <w:tcW w:w="1410" w:type="dxa"/>
            <w:vAlign w:val="center"/>
          </w:tcPr>
          <w:p>
            <w:pPr>
              <w:spacing w:line="240" w:lineRule="auto"/>
              <w:jc w:val="right"/>
              <w:rPr>
                <w:rFonts w:hint="default" w:ascii="Times New Roman" w:hAnsi="Times New Roman" w:cs="Times New Roman"/>
                <w:color w:val="000000"/>
                <w:kern w:val="0"/>
                <w:sz w:val="21"/>
                <w:szCs w:val="21"/>
              </w:rPr>
            </w:pPr>
          </w:p>
        </w:tc>
        <w:tc>
          <w:tcPr>
            <w:tcW w:w="1300" w:type="dxa"/>
            <w:vAlign w:val="center"/>
          </w:tcPr>
          <w:p>
            <w:pPr>
              <w:spacing w:line="240" w:lineRule="auto"/>
              <w:jc w:val="right"/>
              <w:rPr>
                <w:rFonts w:hint="default" w:ascii="Times New Roman" w:hAnsi="Times New Roman" w:cs="Times New Roman"/>
                <w:color w:val="000000"/>
                <w:kern w:val="0"/>
                <w:sz w:val="21"/>
                <w:szCs w:val="21"/>
              </w:rPr>
            </w:pPr>
          </w:p>
        </w:tc>
        <w:tc>
          <w:tcPr>
            <w:tcW w:w="1283" w:type="dxa"/>
            <w:vAlign w:val="center"/>
          </w:tcPr>
          <w:p>
            <w:pPr>
              <w:spacing w:line="240" w:lineRule="auto"/>
              <w:jc w:val="right"/>
              <w:rPr>
                <w:rFonts w:hint="default" w:ascii="Times New Roman" w:hAnsi="Times New Roman" w:cs="Times New Roman"/>
                <w:color w:val="000000"/>
                <w:kern w:val="0"/>
                <w:sz w:val="21"/>
                <w:szCs w:val="21"/>
              </w:rPr>
            </w:pPr>
          </w:p>
        </w:tc>
        <w:tc>
          <w:tcPr>
            <w:tcW w:w="657" w:type="dxa"/>
            <w:vAlign w:val="center"/>
          </w:tcPr>
          <w:p>
            <w:pPr>
              <w:spacing w:line="240" w:lineRule="auto"/>
              <w:jc w:val="right"/>
              <w:rPr>
                <w:rFonts w:hint="default" w:ascii="Times New Roman" w:hAnsi="Times New Roman" w:cs="Times New Roman"/>
                <w:color w:val="000000"/>
                <w:kern w:val="0"/>
                <w:sz w:val="21"/>
                <w:szCs w:val="21"/>
              </w:rPr>
            </w:pPr>
          </w:p>
        </w:tc>
        <w:tc>
          <w:tcPr>
            <w:tcW w:w="1255" w:type="dxa"/>
            <w:vAlign w:val="center"/>
          </w:tcPr>
          <w:p>
            <w:pPr>
              <w:spacing w:line="240" w:lineRule="auto"/>
              <w:jc w:val="right"/>
              <w:rPr>
                <w:rFonts w:hint="default" w:ascii="Times New Roman" w:hAnsi="Times New Roman" w:cs="Times New Roman"/>
                <w:color w:val="000000"/>
                <w:kern w:val="0"/>
                <w:sz w:val="21"/>
                <w:szCs w:val="21"/>
              </w:rPr>
            </w:pPr>
          </w:p>
        </w:tc>
        <w:tc>
          <w:tcPr>
            <w:tcW w:w="1348"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58,317,637.41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979" w:type="dxa"/>
            <w:shd w:val="clear" w:color="auto" w:fill="D7D7D7" w:themeFill="background1" w:themeFillShade="D8"/>
            <w:vAlign w:val="center"/>
          </w:tcPr>
          <w:p>
            <w:pPr>
              <w:widowControl/>
              <w:spacing w:line="240" w:lineRule="auto"/>
              <w:jc w:val="lef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四</w:t>
            </w:r>
            <w:r>
              <w:rPr>
                <w:rStyle w:val="11"/>
                <w:rFonts w:hint="default" w:ascii="Times New Roman" w:hAnsi="Times New Roman" w:cs="Times New Roman"/>
                <w:sz w:val="21"/>
                <w:szCs w:val="21"/>
                <w:lang w:bidi="ar"/>
              </w:rPr>
              <w:t>、固定资产减值准备</w:t>
            </w:r>
          </w:p>
        </w:tc>
        <w:tc>
          <w:tcPr>
            <w:tcW w:w="139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24,988,076.29</w:t>
            </w:r>
          </w:p>
        </w:tc>
        <w:tc>
          <w:tcPr>
            <w:tcW w:w="141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22,005,083.09</w:t>
            </w:r>
          </w:p>
        </w:tc>
        <w:tc>
          <w:tcPr>
            <w:tcW w:w="1300" w:type="dxa"/>
            <w:vAlign w:val="center"/>
          </w:tcPr>
          <w:p>
            <w:pPr>
              <w:spacing w:line="240" w:lineRule="auto"/>
              <w:jc w:val="right"/>
              <w:rPr>
                <w:rFonts w:hint="default" w:ascii="Times New Roman" w:hAnsi="Times New Roman" w:cs="Times New Roman"/>
                <w:color w:val="000000"/>
                <w:kern w:val="0"/>
                <w:sz w:val="21"/>
                <w:szCs w:val="21"/>
              </w:rPr>
            </w:pPr>
          </w:p>
        </w:tc>
        <w:tc>
          <w:tcPr>
            <w:tcW w:w="1283" w:type="dxa"/>
            <w:vAlign w:val="center"/>
          </w:tcPr>
          <w:p>
            <w:pPr>
              <w:spacing w:line="240" w:lineRule="auto"/>
              <w:jc w:val="right"/>
              <w:rPr>
                <w:rFonts w:hint="default" w:ascii="Times New Roman" w:hAnsi="Times New Roman" w:cs="Times New Roman"/>
                <w:color w:val="000000"/>
                <w:kern w:val="0"/>
                <w:sz w:val="21"/>
                <w:szCs w:val="21"/>
              </w:rPr>
            </w:pPr>
          </w:p>
        </w:tc>
        <w:tc>
          <w:tcPr>
            <w:tcW w:w="657" w:type="dxa"/>
            <w:vAlign w:val="center"/>
          </w:tcPr>
          <w:p>
            <w:pPr>
              <w:spacing w:line="240" w:lineRule="auto"/>
              <w:jc w:val="right"/>
              <w:rPr>
                <w:rFonts w:hint="default" w:ascii="Times New Roman" w:hAnsi="Times New Roman" w:cs="Times New Roman"/>
                <w:color w:val="000000"/>
                <w:kern w:val="0"/>
                <w:sz w:val="21"/>
                <w:szCs w:val="21"/>
              </w:rPr>
            </w:pPr>
          </w:p>
        </w:tc>
        <w:tc>
          <w:tcPr>
            <w:tcW w:w="1255" w:type="dxa"/>
            <w:vAlign w:val="center"/>
          </w:tcPr>
          <w:p>
            <w:pPr>
              <w:spacing w:line="240" w:lineRule="auto"/>
              <w:jc w:val="right"/>
              <w:rPr>
                <w:rFonts w:hint="default" w:ascii="Times New Roman" w:hAnsi="Times New Roman" w:cs="Times New Roman"/>
                <w:color w:val="000000"/>
                <w:kern w:val="0"/>
                <w:sz w:val="21"/>
                <w:szCs w:val="21"/>
              </w:rPr>
            </w:pPr>
          </w:p>
        </w:tc>
        <w:tc>
          <w:tcPr>
            <w:tcW w:w="1348"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46,993,159.38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979" w:type="dxa"/>
            <w:shd w:val="clear" w:color="auto" w:fill="D7D7D7" w:themeFill="background1" w:themeFillShade="D8"/>
            <w:vAlign w:val="center"/>
          </w:tcPr>
          <w:p>
            <w:pPr>
              <w:widowControl/>
              <w:spacing w:line="240" w:lineRule="auto"/>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五</w:t>
            </w:r>
            <w:r>
              <w:rPr>
                <w:rStyle w:val="12"/>
                <w:rFonts w:hint="default" w:ascii="Times New Roman" w:hAnsi="Times New Roman" w:cs="Times New Roman"/>
                <w:sz w:val="21"/>
                <w:szCs w:val="21"/>
                <w:lang w:bidi="ar"/>
              </w:rPr>
              <w:t>、无形资产减值准备</w:t>
            </w:r>
          </w:p>
        </w:tc>
        <w:tc>
          <w:tcPr>
            <w:tcW w:w="1390" w:type="dxa"/>
            <w:vAlign w:val="center"/>
          </w:tcPr>
          <w:p>
            <w:pPr>
              <w:spacing w:line="240" w:lineRule="auto"/>
              <w:jc w:val="right"/>
              <w:rPr>
                <w:rFonts w:hint="default" w:ascii="Times New Roman" w:hAnsi="Times New Roman" w:cs="Times New Roman"/>
                <w:color w:val="000000"/>
                <w:kern w:val="0"/>
                <w:sz w:val="21"/>
                <w:szCs w:val="21"/>
              </w:rPr>
            </w:pPr>
          </w:p>
        </w:tc>
        <w:tc>
          <w:tcPr>
            <w:tcW w:w="141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16,059,401.06</w:t>
            </w:r>
          </w:p>
        </w:tc>
        <w:tc>
          <w:tcPr>
            <w:tcW w:w="1300" w:type="dxa"/>
            <w:vAlign w:val="center"/>
          </w:tcPr>
          <w:p>
            <w:pPr>
              <w:spacing w:line="240" w:lineRule="auto"/>
              <w:jc w:val="right"/>
              <w:rPr>
                <w:rFonts w:hint="default" w:ascii="Times New Roman" w:hAnsi="Times New Roman" w:cs="Times New Roman"/>
                <w:color w:val="000000"/>
                <w:kern w:val="0"/>
                <w:sz w:val="21"/>
                <w:szCs w:val="21"/>
              </w:rPr>
            </w:pPr>
          </w:p>
        </w:tc>
        <w:tc>
          <w:tcPr>
            <w:tcW w:w="1283" w:type="dxa"/>
            <w:vAlign w:val="center"/>
          </w:tcPr>
          <w:p>
            <w:pPr>
              <w:spacing w:line="240" w:lineRule="auto"/>
              <w:jc w:val="right"/>
              <w:rPr>
                <w:rFonts w:hint="default" w:ascii="Times New Roman" w:hAnsi="Times New Roman" w:cs="Times New Roman"/>
                <w:color w:val="000000"/>
                <w:kern w:val="0"/>
                <w:sz w:val="21"/>
                <w:szCs w:val="21"/>
              </w:rPr>
            </w:pPr>
          </w:p>
        </w:tc>
        <w:tc>
          <w:tcPr>
            <w:tcW w:w="657" w:type="dxa"/>
            <w:vAlign w:val="center"/>
          </w:tcPr>
          <w:p>
            <w:pPr>
              <w:spacing w:line="240" w:lineRule="auto"/>
              <w:jc w:val="right"/>
              <w:rPr>
                <w:rFonts w:hint="default" w:ascii="Times New Roman" w:hAnsi="Times New Roman" w:cs="Times New Roman"/>
                <w:color w:val="000000"/>
                <w:kern w:val="0"/>
                <w:sz w:val="21"/>
                <w:szCs w:val="21"/>
              </w:rPr>
            </w:pPr>
          </w:p>
        </w:tc>
        <w:tc>
          <w:tcPr>
            <w:tcW w:w="1255" w:type="dxa"/>
            <w:vAlign w:val="center"/>
          </w:tcPr>
          <w:p>
            <w:pPr>
              <w:spacing w:line="240" w:lineRule="auto"/>
              <w:jc w:val="right"/>
              <w:rPr>
                <w:rFonts w:hint="default" w:ascii="Times New Roman" w:hAnsi="Times New Roman" w:cs="Times New Roman"/>
                <w:color w:val="000000"/>
                <w:kern w:val="0"/>
                <w:sz w:val="21"/>
                <w:szCs w:val="21"/>
              </w:rPr>
            </w:pPr>
          </w:p>
        </w:tc>
        <w:tc>
          <w:tcPr>
            <w:tcW w:w="1348"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16,059,401.06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79" w:type="dxa"/>
            <w:shd w:val="clear" w:color="auto" w:fill="D7D7D7" w:themeFill="background1" w:themeFillShade="D8"/>
            <w:vAlign w:val="center"/>
          </w:tcPr>
          <w:p>
            <w:pPr>
              <w:widowControl/>
              <w:spacing w:line="240" w:lineRule="auto"/>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六、商誉减值准备</w:t>
            </w:r>
          </w:p>
        </w:tc>
        <w:tc>
          <w:tcPr>
            <w:tcW w:w="1390"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38,536,355.80</w:t>
            </w:r>
          </w:p>
        </w:tc>
        <w:tc>
          <w:tcPr>
            <w:tcW w:w="1410" w:type="dxa"/>
            <w:vAlign w:val="center"/>
          </w:tcPr>
          <w:p>
            <w:pPr>
              <w:spacing w:line="240" w:lineRule="auto"/>
              <w:jc w:val="right"/>
              <w:rPr>
                <w:rFonts w:hint="default" w:ascii="Times New Roman" w:hAnsi="Times New Roman" w:cs="Times New Roman"/>
                <w:color w:val="000000"/>
                <w:kern w:val="0"/>
                <w:sz w:val="21"/>
                <w:szCs w:val="21"/>
              </w:rPr>
            </w:pPr>
          </w:p>
        </w:tc>
        <w:tc>
          <w:tcPr>
            <w:tcW w:w="1300" w:type="dxa"/>
            <w:vAlign w:val="center"/>
          </w:tcPr>
          <w:p>
            <w:pPr>
              <w:spacing w:line="240" w:lineRule="auto"/>
              <w:jc w:val="right"/>
              <w:rPr>
                <w:rFonts w:hint="default" w:ascii="Times New Roman" w:hAnsi="Times New Roman" w:cs="Times New Roman"/>
                <w:color w:val="000000"/>
                <w:kern w:val="0"/>
                <w:sz w:val="21"/>
                <w:szCs w:val="21"/>
              </w:rPr>
            </w:pPr>
          </w:p>
        </w:tc>
        <w:tc>
          <w:tcPr>
            <w:tcW w:w="1283" w:type="dxa"/>
            <w:vAlign w:val="center"/>
          </w:tcPr>
          <w:p>
            <w:pPr>
              <w:spacing w:line="240" w:lineRule="auto"/>
              <w:jc w:val="right"/>
              <w:rPr>
                <w:rFonts w:hint="default" w:ascii="Times New Roman" w:hAnsi="Times New Roman" w:cs="Times New Roman"/>
                <w:color w:val="000000"/>
                <w:kern w:val="0"/>
                <w:sz w:val="21"/>
                <w:szCs w:val="21"/>
              </w:rPr>
            </w:pPr>
          </w:p>
        </w:tc>
        <w:tc>
          <w:tcPr>
            <w:tcW w:w="657" w:type="dxa"/>
            <w:vAlign w:val="center"/>
          </w:tcPr>
          <w:p>
            <w:pPr>
              <w:spacing w:line="240" w:lineRule="auto"/>
              <w:jc w:val="right"/>
              <w:rPr>
                <w:rFonts w:hint="default" w:ascii="Times New Roman" w:hAnsi="Times New Roman" w:cs="Times New Roman"/>
                <w:color w:val="000000"/>
                <w:kern w:val="0"/>
                <w:sz w:val="21"/>
                <w:szCs w:val="21"/>
              </w:rPr>
            </w:pPr>
          </w:p>
        </w:tc>
        <w:tc>
          <w:tcPr>
            <w:tcW w:w="1255" w:type="dxa"/>
            <w:vAlign w:val="center"/>
          </w:tcPr>
          <w:p>
            <w:pPr>
              <w:spacing w:line="240" w:lineRule="auto"/>
              <w:jc w:val="right"/>
              <w:rPr>
                <w:rFonts w:hint="default" w:ascii="Times New Roman" w:hAnsi="Times New Roman" w:cs="Times New Roman"/>
                <w:color w:val="000000"/>
                <w:kern w:val="0"/>
                <w:sz w:val="21"/>
                <w:szCs w:val="21"/>
              </w:rPr>
            </w:pPr>
          </w:p>
        </w:tc>
        <w:tc>
          <w:tcPr>
            <w:tcW w:w="1348" w:type="dxa"/>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38,536,355.80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79" w:type="dxa"/>
            <w:shd w:val="clear" w:color="auto" w:fill="D7D7D7" w:themeFill="background1" w:themeFillShade="D8"/>
            <w:vAlign w:val="center"/>
          </w:tcPr>
          <w:p>
            <w:pPr>
              <w:widowControl/>
              <w:spacing w:line="240" w:lineRule="auto"/>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合计</w:t>
            </w:r>
          </w:p>
        </w:tc>
        <w:tc>
          <w:tcPr>
            <w:tcW w:w="1390" w:type="dxa"/>
            <w:shd w:val="clear" w:color="auto" w:fill="auto"/>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415,674,100.84</w:t>
            </w:r>
          </w:p>
        </w:tc>
        <w:tc>
          <w:tcPr>
            <w:tcW w:w="1410" w:type="dxa"/>
            <w:shd w:val="clear" w:color="auto" w:fill="auto"/>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102,748,225.22</w:t>
            </w:r>
          </w:p>
        </w:tc>
        <w:tc>
          <w:tcPr>
            <w:tcW w:w="1300" w:type="dxa"/>
            <w:shd w:val="clear" w:color="auto" w:fill="auto"/>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12,613,246.72</w:t>
            </w:r>
          </w:p>
        </w:tc>
        <w:tc>
          <w:tcPr>
            <w:tcW w:w="1283" w:type="dxa"/>
            <w:shd w:val="clear" w:color="auto" w:fill="auto"/>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2,461,763.95</w:t>
            </w:r>
          </w:p>
        </w:tc>
        <w:tc>
          <w:tcPr>
            <w:tcW w:w="657" w:type="dxa"/>
            <w:shd w:val="clear" w:color="auto" w:fill="auto"/>
            <w:vAlign w:val="center"/>
          </w:tcPr>
          <w:p>
            <w:pPr>
              <w:spacing w:line="240" w:lineRule="auto"/>
              <w:jc w:val="right"/>
              <w:rPr>
                <w:rFonts w:hint="default" w:ascii="Times New Roman" w:hAnsi="Times New Roman" w:cs="Times New Roman"/>
                <w:color w:val="000000"/>
                <w:kern w:val="0"/>
                <w:sz w:val="21"/>
                <w:szCs w:val="21"/>
              </w:rPr>
            </w:pPr>
          </w:p>
        </w:tc>
        <w:tc>
          <w:tcPr>
            <w:tcW w:w="1255" w:type="dxa"/>
            <w:shd w:val="clear" w:color="auto" w:fill="auto"/>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15,075,010.67</w:t>
            </w:r>
          </w:p>
        </w:tc>
        <w:tc>
          <w:tcPr>
            <w:tcW w:w="1348" w:type="dxa"/>
            <w:shd w:val="clear" w:color="auto" w:fill="auto"/>
            <w:vAlign w:val="center"/>
          </w:tcPr>
          <w:p>
            <w:pPr>
              <w:widowControl/>
              <w:spacing w:line="240" w:lineRule="auto"/>
              <w:jc w:val="right"/>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bidi="ar"/>
              </w:rPr>
              <w:t>503,347,315.39</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宋体" w:cs="Times New Roman"/>
          <w:b/>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Times New Roman" w:cs="Times New Roman"/>
          <w:b/>
          <w:sz w:val="24"/>
          <w:szCs w:val="24"/>
        </w:rPr>
      </w:pP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lang w:val="en-US" w:eastAsia="zh-CN"/>
        </w:rPr>
        <w:t>三</w:t>
      </w:r>
      <w:r>
        <w:rPr>
          <w:rFonts w:hint="default" w:ascii="Times New Roman" w:hAnsi="Times New Roman" w:eastAsia="宋体" w:cs="Times New Roman"/>
          <w:b/>
          <w:sz w:val="24"/>
          <w:szCs w:val="24"/>
          <w:lang w:eastAsia="zh-CN"/>
        </w:rPr>
        <w:t>）</w:t>
      </w:r>
      <w:r>
        <w:rPr>
          <w:rFonts w:hint="default" w:ascii="Times New Roman" w:hAnsi="Times New Roman" w:eastAsia="Times New Roman" w:cs="Times New Roman"/>
          <w:b/>
          <w:sz w:val="24"/>
          <w:szCs w:val="24"/>
        </w:rPr>
        <w:t>本次计提资产减值准备</w:t>
      </w:r>
      <w:r>
        <w:rPr>
          <w:rFonts w:hint="default" w:ascii="Times New Roman" w:hAnsi="Times New Roman" w:eastAsia="宋体" w:cs="Times New Roman"/>
          <w:b/>
          <w:sz w:val="24"/>
          <w:szCs w:val="24"/>
          <w:lang w:val="en-US" w:eastAsia="zh-CN"/>
        </w:rPr>
        <w:t>的依据</w:t>
      </w:r>
      <w:r>
        <w:rPr>
          <w:rFonts w:hint="default" w:ascii="Times New Roman" w:hAnsi="Times New Roman" w:cs="Times New Roman"/>
          <w:b/>
          <w:sz w:val="24"/>
          <w:szCs w:val="24"/>
          <w:lang w:val="en-US" w:eastAsia="zh-CN"/>
        </w:rPr>
        <w:t>和会计处理过程</w:t>
      </w:r>
      <w:r>
        <w:rPr>
          <w:rFonts w:hint="default" w:ascii="Times New Roman" w:hAnsi="Times New Roman" w:eastAsia="Times New Roman" w:cs="Times New Roman"/>
          <w:b/>
          <w:sz w:val="24"/>
          <w:szCs w:val="24"/>
        </w:rPr>
        <w:t xml:space="preserve"> </w:t>
      </w:r>
    </w:p>
    <w:p>
      <w:pPr>
        <w:spacing w:line="360" w:lineRule="auto"/>
        <w:ind w:firstLine="482" w:firstLineChars="200"/>
        <w:outlineLvl w:val="1"/>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1、</w:t>
      </w:r>
      <w:r>
        <w:rPr>
          <w:rFonts w:hint="default" w:ascii="Times New Roman" w:hAnsi="Times New Roman" w:cs="Times New Roman"/>
          <w:b/>
          <w:bCs/>
          <w:sz w:val="24"/>
          <w:szCs w:val="24"/>
        </w:rPr>
        <w:t>坏账准备</w:t>
      </w:r>
    </w:p>
    <w:p>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rPr>
        <w:t>截止2018年9月30日，公司按照会计政策计提坏账准备58,485,516.52元，其中按照信用风险特征组合计提坏账准备20,247,219.35元，单项金额虽不重大但单项计提坏账准备38,238,297.17元。</w:t>
      </w:r>
      <w:r>
        <w:rPr>
          <w:rFonts w:hint="default" w:ascii="Times New Roman" w:hAnsi="Times New Roman" w:cs="Times New Roman"/>
          <w:sz w:val="24"/>
          <w:szCs w:val="24"/>
          <w:highlight w:val="none"/>
        </w:rPr>
        <w:t>其中：焊接业务涉及的应收款项计提坏账准备</w:t>
      </w:r>
      <w:r>
        <w:rPr>
          <w:rFonts w:hint="default" w:ascii="Times New Roman" w:hAnsi="Times New Roman" w:cs="Times New Roman"/>
          <w:sz w:val="24"/>
          <w:szCs w:val="24"/>
          <w:highlight w:val="none"/>
          <w:lang w:val="en-US" w:eastAsia="zh-CN"/>
        </w:rPr>
        <w:t>38,166,177.07</w:t>
      </w:r>
      <w:r>
        <w:rPr>
          <w:rFonts w:hint="default" w:ascii="Times New Roman" w:hAnsi="Times New Roman" w:cs="Times New Roman"/>
          <w:sz w:val="24"/>
          <w:szCs w:val="24"/>
          <w:highlight w:val="none"/>
        </w:rPr>
        <w:t>元。</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本期减少坏账准备2,461,763.95元，其中：合并范围变化减少坏账准备2,453,198.68元。</w:t>
      </w:r>
    </w:p>
    <w:p>
      <w:pPr>
        <w:spacing w:line="360" w:lineRule="auto"/>
        <w:ind w:firstLine="482" w:firstLineChars="200"/>
        <w:outlineLvl w:val="1"/>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2、</w:t>
      </w:r>
      <w:r>
        <w:rPr>
          <w:rFonts w:hint="default" w:ascii="Times New Roman" w:hAnsi="Times New Roman" w:cs="Times New Roman"/>
          <w:b/>
          <w:bCs/>
          <w:sz w:val="24"/>
          <w:szCs w:val="24"/>
        </w:rPr>
        <w:t>存货跌价准备</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截止2018年9月30日，公司涉及和服务的部分下游行业市场竞争激烈，部分产品售价持续走低，导致个别业务领域产品销售毛利出现较大幅度下滑，针对账面价值低于可变现净值的存货计提了存货跌价准备6,198,224.95元。</w:t>
      </w:r>
      <w:r>
        <w:rPr>
          <w:rFonts w:hint="default" w:ascii="Times New Roman" w:hAnsi="Times New Roman" w:cs="Times New Roman"/>
          <w:sz w:val="24"/>
          <w:szCs w:val="24"/>
          <w:highlight w:val="none"/>
        </w:rPr>
        <w:t>其中：焊接业务涉及的存货计提存货跌价准备</w:t>
      </w:r>
      <w:r>
        <w:rPr>
          <w:rFonts w:hint="default" w:ascii="Times New Roman" w:hAnsi="Times New Roman" w:cs="Times New Roman"/>
          <w:sz w:val="24"/>
          <w:szCs w:val="24"/>
          <w:highlight w:val="none"/>
          <w:lang w:val="en-US" w:eastAsia="zh-CN"/>
        </w:rPr>
        <w:t>5,323,167.56</w:t>
      </w:r>
      <w:r>
        <w:rPr>
          <w:rFonts w:hint="default" w:ascii="Times New Roman" w:hAnsi="Times New Roman" w:cs="Times New Roman"/>
          <w:sz w:val="24"/>
          <w:szCs w:val="24"/>
          <w:highlight w:val="none"/>
        </w:rPr>
        <w:t>元。本</w:t>
      </w:r>
      <w:r>
        <w:rPr>
          <w:rFonts w:hint="default" w:ascii="Times New Roman" w:hAnsi="Times New Roman" w:cs="Times New Roman"/>
          <w:sz w:val="24"/>
          <w:szCs w:val="24"/>
        </w:rPr>
        <w:t>期因销售转销存货跌价准备12,613,246.72元，本期存货跌价准备净减少6,415,022.17元。</w:t>
      </w:r>
    </w:p>
    <w:p>
      <w:pPr>
        <w:spacing w:line="360" w:lineRule="auto"/>
        <w:ind w:firstLine="482" w:firstLineChars="200"/>
        <w:outlineLvl w:val="1"/>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固定资产减值准备</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公司焊接业务相关固定资产，根据审计、评估结果，对可收回金额低于账面价值的固定资产计提减值准备22,005,083.09元。</w:t>
      </w:r>
    </w:p>
    <w:p>
      <w:pPr>
        <w:spacing w:line="360" w:lineRule="auto"/>
        <w:ind w:firstLine="482" w:firstLineChars="200"/>
        <w:outlineLvl w:val="1"/>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4、</w:t>
      </w:r>
      <w:r>
        <w:rPr>
          <w:rFonts w:hint="default" w:ascii="Times New Roman" w:hAnsi="Times New Roman" w:cs="Times New Roman"/>
          <w:b/>
          <w:bCs/>
          <w:sz w:val="24"/>
          <w:szCs w:val="24"/>
        </w:rPr>
        <w:t>无形资产减值准备</w:t>
      </w:r>
    </w:p>
    <w:p>
      <w:pPr>
        <w:spacing w:line="360" w:lineRule="auto"/>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rPr>
        <w:t>公司</w:t>
      </w:r>
      <w:r>
        <w:rPr>
          <w:rFonts w:hint="default" w:ascii="Times New Roman" w:hAnsi="Times New Roman" w:cs="Times New Roman"/>
          <w:sz w:val="24"/>
          <w:szCs w:val="24"/>
          <w:lang w:eastAsia="zh-CN"/>
        </w:rPr>
        <w:t>部分</w:t>
      </w:r>
      <w:r>
        <w:rPr>
          <w:rFonts w:hint="default" w:ascii="Times New Roman" w:hAnsi="Times New Roman" w:cs="Times New Roman"/>
          <w:sz w:val="24"/>
          <w:szCs w:val="24"/>
        </w:rPr>
        <w:t>无形资产</w:t>
      </w:r>
      <w:r>
        <w:rPr>
          <w:rFonts w:hint="default" w:ascii="Times New Roman" w:hAnsi="Times New Roman" w:cs="Times New Roman"/>
          <w:sz w:val="24"/>
          <w:szCs w:val="24"/>
          <w:lang w:eastAsia="zh-CN"/>
        </w:rPr>
        <w:t>专利或</w:t>
      </w:r>
      <w:r>
        <w:rPr>
          <w:rFonts w:hint="default" w:ascii="Times New Roman" w:hAnsi="Times New Roman" w:cs="Times New Roman"/>
          <w:sz w:val="24"/>
          <w:szCs w:val="24"/>
        </w:rPr>
        <w:t>非专利技术由于生产线停产</w:t>
      </w:r>
      <w:r>
        <w:rPr>
          <w:rFonts w:hint="default" w:ascii="Times New Roman" w:hAnsi="Times New Roman" w:cs="Times New Roman"/>
          <w:sz w:val="24"/>
          <w:szCs w:val="24"/>
          <w:lang w:eastAsia="zh-CN"/>
        </w:rPr>
        <w:t>、业务调整</w:t>
      </w:r>
      <w:r>
        <w:rPr>
          <w:rFonts w:hint="default" w:ascii="Times New Roman" w:hAnsi="Times New Roman" w:cs="Times New Roman"/>
          <w:sz w:val="24"/>
          <w:szCs w:val="24"/>
        </w:rPr>
        <w:t>存在减值迹象，公司组织内部专家组对这些非专利技术进行了评定，根据账面价值与可收回金额的差额计提无形资产减值准备16,059,401.06元。</w:t>
      </w:r>
      <w:r>
        <w:rPr>
          <w:rFonts w:hint="default" w:ascii="Times New Roman" w:hAnsi="Times New Roman" w:cs="Times New Roman"/>
          <w:sz w:val="24"/>
          <w:szCs w:val="24"/>
          <w:highlight w:val="none"/>
          <w:lang w:eastAsia="zh-CN"/>
        </w:rPr>
        <w:t>其中：焊接业务涉及的非专利技术计提资产减值准备</w:t>
      </w:r>
      <w:r>
        <w:rPr>
          <w:rFonts w:hint="default" w:ascii="Times New Roman" w:hAnsi="Times New Roman" w:cs="Times New Roman"/>
          <w:sz w:val="24"/>
          <w:szCs w:val="24"/>
          <w:highlight w:val="none"/>
          <w:lang w:val="en-US" w:eastAsia="zh-CN"/>
        </w:rPr>
        <w:t>13,130,832.88元。</w:t>
      </w:r>
    </w:p>
    <w:p>
      <w:pPr>
        <w:spacing w:line="240" w:lineRule="auto"/>
        <w:ind w:firstLine="480" w:firstLineChars="200"/>
        <w:rPr>
          <w:rFonts w:hint="default" w:ascii="Times New Roman" w:hAnsi="Times New Roman" w:cs="Times New Roman"/>
          <w:sz w:val="24"/>
          <w:szCs w:val="24"/>
          <w:highlight w:val="none"/>
          <w:lang w:val="en-US" w:eastAsia="zh-CN"/>
        </w:rPr>
      </w:pPr>
    </w:p>
    <w:p>
      <w:pPr>
        <w:numPr>
          <w:ilvl w:val="0"/>
          <w:numId w:val="0"/>
        </w:numPr>
        <w:spacing w:line="360" w:lineRule="auto"/>
        <w:rPr>
          <w:rFonts w:hint="default" w:ascii="Times New Roman" w:hAnsi="Times New Roman" w:cs="Times New Roman"/>
          <w:b/>
          <w:sz w:val="24"/>
        </w:rPr>
      </w:pPr>
      <w:r>
        <w:rPr>
          <w:rFonts w:hint="default" w:ascii="Times New Roman" w:hAnsi="Times New Roman" w:cs="Times New Roman"/>
          <w:b/>
          <w:sz w:val="24"/>
          <w:lang w:val="en-US" w:eastAsia="zh-CN"/>
        </w:rPr>
        <w:t xml:space="preserve">    （四）</w:t>
      </w:r>
      <w:r>
        <w:rPr>
          <w:rFonts w:hint="default" w:ascii="Times New Roman" w:hAnsi="Times New Roman" w:cs="Times New Roman"/>
          <w:b/>
          <w:sz w:val="24"/>
        </w:rPr>
        <w:t xml:space="preserve">公司对计提资产减值准备事项履行的审批程序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sz w:val="24"/>
          <w:highlight w:val="none"/>
        </w:rPr>
      </w:pPr>
      <w:r>
        <w:rPr>
          <w:rFonts w:hint="default" w:ascii="Times New Roman" w:hAnsi="Times New Roman" w:cs="Times New Roman"/>
          <w:b w:val="0"/>
          <w:bCs/>
          <w:sz w:val="24"/>
        </w:rPr>
        <w:t>本次计提资产减值准备事项已经公司第</w:t>
      </w:r>
      <w:r>
        <w:rPr>
          <w:rFonts w:hint="default" w:ascii="Times New Roman" w:hAnsi="Times New Roman" w:cs="Times New Roman"/>
          <w:b w:val="0"/>
          <w:bCs/>
          <w:sz w:val="24"/>
          <w:lang w:val="en-US" w:eastAsia="zh-CN"/>
        </w:rPr>
        <w:t>七</w:t>
      </w:r>
      <w:r>
        <w:rPr>
          <w:rFonts w:hint="default" w:ascii="Times New Roman" w:hAnsi="Times New Roman" w:cs="Times New Roman"/>
          <w:b w:val="0"/>
          <w:bCs/>
          <w:sz w:val="24"/>
        </w:rPr>
        <w:t>届董事会第</w:t>
      </w:r>
      <w:r>
        <w:rPr>
          <w:rFonts w:hint="default" w:ascii="Times New Roman" w:hAnsi="Times New Roman" w:cs="Times New Roman"/>
          <w:b w:val="0"/>
          <w:bCs/>
          <w:sz w:val="24"/>
          <w:lang w:val="en-US" w:eastAsia="zh-CN"/>
        </w:rPr>
        <w:t>七</w:t>
      </w:r>
      <w:r>
        <w:rPr>
          <w:rFonts w:hint="default" w:ascii="Times New Roman" w:hAnsi="Times New Roman" w:cs="Times New Roman"/>
          <w:b w:val="0"/>
          <w:bCs/>
          <w:sz w:val="24"/>
        </w:rPr>
        <w:t>次会议及第</w:t>
      </w:r>
      <w:r>
        <w:rPr>
          <w:rFonts w:hint="default" w:ascii="Times New Roman" w:hAnsi="Times New Roman" w:cs="Times New Roman"/>
          <w:b w:val="0"/>
          <w:bCs/>
          <w:sz w:val="24"/>
          <w:lang w:val="en-US" w:eastAsia="zh-CN"/>
        </w:rPr>
        <w:t>七</w:t>
      </w:r>
      <w:r>
        <w:rPr>
          <w:rFonts w:hint="default" w:ascii="Times New Roman" w:hAnsi="Times New Roman" w:cs="Times New Roman"/>
          <w:b w:val="0"/>
          <w:bCs/>
          <w:sz w:val="24"/>
        </w:rPr>
        <w:t>届监事会第</w:t>
      </w:r>
      <w:r>
        <w:rPr>
          <w:rFonts w:hint="default" w:ascii="Times New Roman" w:hAnsi="Times New Roman" w:cs="Times New Roman"/>
          <w:b w:val="0"/>
          <w:bCs/>
          <w:sz w:val="24"/>
          <w:lang w:val="en-US" w:eastAsia="zh-CN"/>
        </w:rPr>
        <w:t>六</w:t>
      </w:r>
      <w:r>
        <w:rPr>
          <w:rFonts w:hint="default" w:ascii="Times New Roman" w:hAnsi="Times New Roman" w:cs="Times New Roman"/>
          <w:b w:val="0"/>
          <w:bCs/>
          <w:sz w:val="24"/>
        </w:rPr>
        <w:t>次会议审议通过，独立董事对该事项发表独立意见，同意本次计提资产减值准备。董事会审计委员会对预计需计提的资产减值准备作了合理性的</w:t>
      </w:r>
      <w:r>
        <w:rPr>
          <w:rFonts w:hint="default" w:ascii="Times New Roman" w:hAnsi="Times New Roman" w:cs="Times New Roman"/>
          <w:b w:val="0"/>
          <w:bCs/>
          <w:sz w:val="24"/>
          <w:highlight w:val="none"/>
        </w:rPr>
        <w:t>说明。</w:t>
      </w:r>
      <w:r>
        <w:rPr>
          <w:rFonts w:hint="default" w:ascii="Times New Roman" w:hAnsi="Times New Roman" w:cs="Times New Roman"/>
          <w:b w:val="0"/>
          <w:bCs/>
          <w:sz w:val="24"/>
          <w:highlight w:val="none"/>
          <w:lang w:val="en-US" w:eastAsia="zh-CN"/>
        </w:rPr>
        <w:t>根据相关规则，本次计提资产减值准备超过公司最近一个会计年度经审计净利润的50%，且绝对金额超过500万元，还应</w:t>
      </w:r>
      <w:r>
        <w:rPr>
          <w:rFonts w:hint="default" w:ascii="Times New Roman" w:hAnsi="Times New Roman" w:cs="Times New Roman"/>
          <w:b w:val="0"/>
          <w:bCs/>
          <w:sz w:val="24"/>
          <w:highlight w:val="none"/>
        </w:rPr>
        <w:t xml:space="preserve">提交公司股东大会审议。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b w:val="0"/>
          <w:bCs/>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Times New Roman" w:cs="Times New Roman"/>
          <w:b/>
          <w:sz w:val="24"/>
        </w:rPr>
      </w:pPr>
      <w:r>
        <w:rPr>
          <w:rFonts w:hint="default" w:ascii="Times New Roman" w:hAnsi="Times New Roman" w:eastAsia="Times New Roman" w:cs="Times New Roman"/>
          <w:b/>
          <w:sz w:val="24"/>
        </w:rPr>
        <w:t xml:space="preserve">二、本次计提减值损失对公司的影响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sz w:val="24"/>
        </w:rPr>
      </w:pPr>
      <w:r>
        <w:rPr>
          <w:rFonts w:hint="default" w:ascii="Times New Roman" w:hAnsi="Times New Roman" w:cs="Times New Roman"/>
          <w:b w:val="0"/>
          <w:bCs/>
          <w:sz w:val="24"/>
        </w:rPr>
        <w:t>本报告期内，公司计提资产减值准备102,748,225.22元，将减少归属于上市公司2018年1-9月净利润101,114,452.92元，减少2018年1-9月归属于母公司所有者净利润99,719,083.52元。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default" w:ascii="Times New Roman" w:hAnsi="Times New Roman" w:cs="Times New Roman"/>
          <w:b w:val="0"/>
          <w:bCs/>
          <w:sz w:val="24"/>
        </w:rPr>
      </w:pPr>
    </w:p>
    <w:p>
      <w:pPr>
        <w:spacing w:line="360" w:lineRule="auto"/>
        <w:ind w:firstLine="480"/>
        <w:rPr>
          <w:rFonts w:hint="default" w:ascii="Times New Roman" w:hAnsi="Times New Roman" w:eastAsia="Times New Roman" w:cs="Times New Roman"/>
          <w:b/>
          <w:color w:val="auto"/>
          <w:sz w:val="24"/>
        </w:rPr>
      </w:pPr>
      <w:r>
        <w:rPr>
          <w:rFonts w:hint="default" w:ascii="Times New Roman" w:hAnsi="Times New Roman" w:cs="Times New Roman"/>
          <w:b/>
          <w:color w:val="auto"/>
          <w:sz w:val="24"/>
          <w:lang w:val="en-US" w:eastAsia="zh-CN"/>
        </w:rPr>
        <w:t>三</w:t>
      </w:r>
      <w:r>
        <w:rPr>
          <w:rFonts w:hint="default" w:ascii="Times New Roman" w:hAnsi="Times New Roman" w:cs="Times New Roman"/>
          <w:b/>
          <w:color w:val="auto"/>
          <w:sz w:val="24"/>
        </w:rPr>
        <w:t xml:space="preserve">、董事会关于计提资产减值准备的说明 </w:t>
      </w:r>
      <w:bookmarkStart w:id="2" w:name="_GoBack"/>
      <w:bookmarkEnd w:id="2"/>
    </w:p>
    <w:p>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公司董事会审计委员会已提前审阅该议案并发表意见，同意将《</w:t>
      </w:r>
      <w:r>
        <w:rPr>
          <w:rFonts w:hint="default" w:ascii="Times New Roman" w:hAnsi="Times New Roman" w:cs="Times New Roman"/>
          <w:sz w:val="24"/>
        </w:rPr>
        <w:t>安泰科技</w:t>
      </w:r>
      <w:r>
        <w:rPr>
          <w:rFonts w:hint="default" w:ascii="Times New Roman" w:hAnsi="Times New Roman" w:cs="Times New Roman"/>
          <w:color w:val="auto"/>
          <w:sz w:val="24"/>
        </w:rPr>
        <w:t>关于计提2018年度前三季度资产减值准备的议案》提交公司董事会审议。公司董事会认为</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公司本次资产减值准备计提遵照《企业会计准则》和公司相关会计政策的规定，是根据相关资产的实际情况并经资产减值测试后基于谨慎性原则而作出的，计提资产减值准备依据充分。计提资产减值准备后，公司2018年度前三季度财务报表能够更加公允地反映截止2018年9月30日公司的财务状况、资产价值及经营成果，使公司的会计信息更具有合理性。 </w:t>
      </w:r>
    </w:p>
    <w:p>
      <w:pPr>
        <w:spacing w:line="240" w:lineRule="auto"/>
        <w:ind w:firstLine="480"/>
        <w:rPr>
          <w:rFonts w:hint="default" w:ascii="Times New Roman" w:hAnsi="Times New Roman" w:cs="Times New Roman"/>
          <w:color w:val="auto"/>
          <w:sz w:val="24"/>
        </w:rPr>
      </w:pP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eastAsia="宋体" w:cs="Times New Roman"/>
          <w:b/>
          <w:bCs/>
          <w:sz w:val="24"/>
          <w:lang w:val="en-US" w:eastAsia="zh-CN"/>
        </w:rPr>
        <w:t>四</w:t>
      </w:r>
      <w:r>
        <w:rPr>
          <w:rFonts w:hint="default" w:ascii="Times New Roman" w:hAnsi="Times New Roman" w:cs="Times New Roman"/>
          <w:b/>
          <w:bCs/>
          <w:sz w:val="24"/>
        </w:rPr>
        <w:t>、</w:t>
      </w:r>
      <w:r>
        <w:rPr>
          <w:rFonts w:hint="default" w:ascii="Times New Roman" w:hAnsi="Times New Roman" w:eastAsia="Times New Roman" w:cs="Times New Roman"/>
          <w:b/>
          <w:bCs/>
          <w:sz w:val="24"/>
        </w:rPr>
        <w:t xml:space="preserve"> 独立董事关于计提资产减值准备的独立意见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独立董事对公司关于计提2018年度前三季度资产减值准备事项发表如下独立意见：</w:t>
      </w:r>
      <w:r>
        <w:rPr>
          <w:rFonts w:hint="eastAsia" w:cs="Times New Roman"/>
          <w:sz w:val="24"/>
          <w:lang w:val="en-US" w:eastAsia="zh-CN"/>
        </w:rPr>
        <w:t xml:space="preserve">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公司本次计提相关资产减值准备是基于稳健的会计原则，依据充分合理，符合《企业会计准则》和公司相关制度的规定，并履行了相应的董事会审批程序。《公司关于计提2018年度前三季度资产减值准备的议案》尚需提交公司股东大会审议。计提资产减值准备后，公司财务报表能够更加公允地反映截止2018年9月30日公司的财务状况、资产价值及经营成果，有助于向投资者提供更加真实、可靠、准确的会计信息。公司本次计提资产减值准备符合公司的整体利益，不存在损害公司和全体股东特别是中小股东利益的情况。 因此，我们同意计提公司2018年度前三季度资产减值准备，并将该议案提交公司股东大会审议。</w:t>
      </w:r>
    </w:p>
    <w:p>
      <w:pPr>
        <w:spacing w:line="240" w:lineRule="auto"/>
        <w:ind w:firstLine="480"/>
        <w:rPr>
          <w:rFonts w:hint="default" w:ascii="Times New Roman" w:hAnsi="Times New Roman" w:cs="Times New Roman"/>
          <w:sz w:val="24"/>
        </w:rPr>
      </w:pP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eastAsia="宋体" w:cs="Times New Roman"/>
          <w:b/>
          <w:bCs/>
          <w:sz w:val="24"/>
          <w:lang w:val="en-US" w:eastAsia="zh-CN"/>
        </w:rPr>
        <w:t>五</w:t>
      </w:r>
      <w:r>
        <w:rPr>
          <w:rFonts w:hint="default" w:ascii="Times New Roman" w:hAnsi="Times New Roman" w:cs="Times New Roman"/>
          <w:b/>
          <w:bCs/>
          <w:sz w:val="24"/>
        </w:rPr>
        <w:t>、监事会审核意见</w:t>
      </w:r>
      <w:r>
        <w:rPr>
          <w:rFonts w:hint="default" w:ascii="Times New Roman" w:hAnsi="Times New Roman" w:eastAsia="Times New Roman" w:cs="Times New Roman"/>
          <w:b/>
          <w:bCs/>
          <w:sz w:val="24"/>
        </w:rPr>
        <w:t xml:space="preserve">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监事会认为：公司本次计提资产减值准备的决议程序合法，依据充分；计提符合企业会计准则等相关规定，符合公司实际情况，计提后更能公允反映公司资产状况，公司董事会就该项议案的决策程序符合相关法律法规的有关规定，同意本次计提资产减值准备。</w:t>
      </w:r>
    </w:p>
    <w:p>
      <w:pPr>
        <w:spacing w:line="240" w:lineRule="auto"/>
        <w:ind w:firstLine="480"/>
        <w:rPr>
          <w:rFonts w:hint="default" w:ascii="Times New Roman" w:hAnsi="Times New Roman" w:cs="Times New Roman"/>
          <w:sz w:val="24"/>
        </w:rPr>
      </w:pP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cs="Times New Roman"/>
          <w:b/>
          <w:bCs/>
          <w:sz w:val="24"/>
          <w:lang w:val="en-US" w:eastAsia="zh-CN"/>
        </w:rPr>
        <w:t>六</w:t>
      </w:r>
      <w:r>
        <w:rPr>
          <w:rFonts w:hint="default" w:ascii="Times New Roman" w:hAnsi="Times New Roman" w:cs="Times New Roman"/>
          <w:b/>
          <w:bCs/>
          <w:sz w:val="24"/>
        </w:rPr>
        <w:t>、备查文件</w:t>
      </w:r>
    </w:p>
    <w:p>
      <w:pPr>
        <w:spacing w:line="360" w:lineRule="auto"/>
        <w:ind w:firstLine="480"/>
        <w:rPr>
          <w:rFonts w:hint="default" w:ascii="Times New Roman" w:hAnsi="Times New Roman" w:eastAsia="Times New Roman" w:cs="Times New Roman"/>
          <w:sz w:val="24"/>
        </w:rPr>
      </w:pPr>
      <w:r>
        <w:rPr>
          <w:rFonts w:hint="default" w:ascii="Times New Roman" w:hAnsi="Times New Roman" w:eastAsia="Times New Roman" w:cs="Times New Roman"/>
          <w:sz w:val="24"/>
        </w:rPr>
        <w:t>1</w:t>
      </w:r>
      <w:r>
        <w:rPr>
          <w:rFonts w:hint="default" w:ascii="Times New Roman" w:hAnsi="Times New Roman" w:cs="Times New Roman"/>
          <w:sz w:val="24"/>
        </w:rPr>
        <w:t>、公司第</w:t>
      </w:r>
      <w:r>
        <w:rPr>
          <w:rFonts w:hint="default" w:ascii="Times New Roman" w:hAnsi="Times New Roman" w:cs="Times New Roman"/>
          <w:sz w:val="24"/>
          <w:lang w:val="en-US" w:eastAsia="zh-CN"/>
        </w:rPr>
        <w:t>七</w:t>
      </w:r>
      <w:r>
        <w:rPr>
          <w:rFonts w:hint="default" w:ascii="Times New Roman" w:hAnsi="Times New Roman" w:cs="Times New Roman"/>
          <w:sz w:val="24"/>
        </w:rPr>
        <w:t>届董事会第</w:t>
      </w:r>
      <w:r>
        <w:rPr>
          <w:rFonts w:hint="default" w:ascii="Times New Roman" w:hAnsi="Times New Roman" w:cs="Times New Roman"/>
          <w:sz w:val="24"/>
          <w:lang w:val="en-US" w:eastAsia="zh-CN"/>
        </w:rPr>
        <w:t>七</w:t>
      </w:r>
      <w:r>
        <w:rPr>
          <w:rFonts w:hint="default" w:ascii="Times New Roman" w:hAnsi="Times New Roman" w:cs="Times New Roman"/>
          <w:sz w:val="24"/>
        </w:rPr>
        <w:t>次会议决议；</w:t>
      </w:r>
    </w:p>
    <w:p>
      <w:pPr>
        <w:spacing w:line="360" w:lineRule="auto"/>
        <w:ind w:firstLine="480"/>
        <w:rPr>
          <w:rFonts w:hint="default" w:ascii="Times New Roman" w:hAnsi="Times New Roman" w:cs="Times New Roman"/>
          <w:sz w:val="24"/>
        </w:rPr>
      </w:pPr>
      <w:r>
        <w:rPr>
          <w:rFonts w:hint="default" w:ascii="Times New Roman" w:hAnsi="Times New Roman" w:eastAsia="Times New Roman" w:cs="Times New Roman"/>
          <w:sz w:val="24"/>
        </w:rPr>
        <w:t>2</w:t>
      </w:r>
      <w:r>
        <w:rPr>
          <w:rFonts w:hint="default" w:ascii="Times New Roman" w:hAnsi="Times New Roman" w:cs="Times New Roman"/>
          <w:sz w:val="24"/>
        </w:rPr>
        <w:t>、公司第</w:t>
      </w:r>
      <w:r>
        <w:rPr>
          <w:rFonts w:hint="default" w:ascii="Times New Roman" w:hAnsi="Times New Roman" w:cs="Times New Roman"/>
          <w:sz w:val="24"/>
          <w:lang w:val="en-US" w:eastAsia="zh-CN"/>
        </w:rPr>
        <w:t>七</w:t>
      </w:r>
      <w:r>
        <w:rPr>
          <w:rFonts w:hint="default" w:ascii="Times New Roman" w:hAnsi="Times New Roman" w:cs="Times New Roman"/>
          <w:sz w:val="24"/>
        </w:rPr>
        <w:t>届监事会第</w:t>
      </w:r>
      <w:r>
        <w:rPr>
          <w:rFonts w:hint="default" w:ascii="Times New Roman" w:hAnsi="Times New Roman" w:cs="Times New Roman"/>
          <w:sz w:val="24"/>
          <w:lang w:val="en-US" w:eastAsia="zh-CN"/>
        </w:rPr>
        <w:t>六</w:t>
      </w:r>
      <w:r>
        <w:rPr>
          <w:rFonts w:hint="default" w:ascii="Times New Roman" w:hAnsi="Times New Roman" w:cs="Times New Roman"/>
          <w:sz w:val="24"/>
        </w:rPr>
        <w:t>次会议决议；</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lang w:val="en-US" w:eastAsia="zh-CN"/>
        </w:rPr>
        <w:t>3</w:t>
      </w:r>
      <w:r>
        <w:rPr>
          <w:rFonts w:hint="default" w:ascii="Times New Roman" w:hAnsi="Times New Roman" w:cs="Times New Roman"/>
          <w:sz w:val="24"/>
        </w:rPr>
        <w:t>、独立董事关于计提2018年度前三季度资产减值准备的独立意见</w:t>
      </w:r>
      <w:r>
        <w:rPr>
          <w:rFonts w:hint="default" w:ascii="Times New Roman" w:hAnsi="Times New Roman" w:cs="Times New Roman"/>
          <w:sz w:val="24"/>
          <w:lang w:eastAsia="zh-CN"/>
        </w:rPr>
        <w:t>。</w:t>
      </w:r>
    </w:p>
    <w:p>
      <w:pPr>
        <w:autoSpaceDE w:val="0"/>
        <w:autoSpaceDN w:val="0"/>
        <w:adjustRightInd w:val="0"/>
        <w:spacing w:line="360" w:lineRule="auto"/>
        <w:ind w:firstLine="480" w:firstLineChars="200"/>
        <w:jc w:val="left"/>
        <w:rPr>
          <w:rFonts w:hint="default" w:ascii="Times New Roman" w:hAnsi="Times New Roman" w:eastAsia="Times New Roman" w:cs="Times New Roman"/>
          <w:kern w:val="0"/>
          <w:sz w:val="24"/>
        </w:rPr>
      </w:pPr>
    </w:p>
    <w:p>
      <w:pPr>
        <w:autoSpaceDE w:val="0"/>
        <w:autoSpaceDN w:val="0"/>
        <w:adjustRightIn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特此公告。</w:t>
      </w: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b/>
          <w:sz w:val="28"/>
        </w:rPr>
      </w:pPr>
      <w:r>
        <w:rPr>
          <w:rFonts w:hint="default" w:ascii="Times New Roman" w:hAnsi="Times New Roman" w:cs="Times New Roman"/>
          <w:b/>
          <w:sz w:val="28"/>
        </w:rPr>
        <w:t>安泰科技股份有限公司董事会</w:t>
      </w:r>
    </w:p>
    <w:p>
      <w:pPr>
        <w:wordWrap w:val="0"/>
        <w:spacing w:line="360" w:lineRule="auto"/>
        <w:ind w:right="560" w:firstLine="420"/>
        <w:jc w:val="right"/>
        <w:rPr>
          <w:rFonts w:hint="default" w:ascii="Times New Roman" w:hAnsi="Times New Roman" w:cs="Times New Roman"/>
        </w:rPr>
      </w:pPr>
      <w:r>
        <w:rPr>
          <w:rFonts w:hint="default" w:ascii="Times New Roman" w:hAnsi="Times New Roman" w:cs="Times New Roman"/>
          <w:b/>
          <w:sz w:val="28"/>
        </w:rPr>
        <w:t>201</w:t>
      </w:r>
      <w:r>
        <w:rPr>
          <w:rFonts w:hint="default" w:ascii="Times New Roman" w:hAnsi="Times New Roman" w:cs="Times New Roman"/>
          <w:b/>
          <w:sz w:val="28"/>
          <w:lang w:val="en-US" w:eastAsia="zh-CN"/>
        </w:rPr>
        <w:t>8</w:t>
      </w:r>
      <w:r>
        <w:rPr>
          <w:rFonts w:hint="default" w:ascii="Times New Roman" w:hAnsi="Times New Roman" w:cs="Times New Roman"/>
          <w:b/>
          <w:sz w:val="28"/>
        </w:rPr>
        <w:t>年</w:t>
      </w:r>
      <w:r>
        <w:rPr>
          <w:rFonts w:hint="default" w:ascii="Times New Roman" w:hAnsi="Times New Roman" w:cs="Times New Roman"/>
          <w:b/>
          <w:sz w:val="28"/>
          <w:lang w:val="en-US" w:eastAsia="zh-CN"/>
        </w:rPr>
        <w:t>10</w:t>
      </w:r>
      <w:r>
        <w:rPr>
          <w:rFonts w:hint="default" w:ascii="Times New Roman" w:hAnsi="Times New Roman" w:cs="Times New Roman"/>
          <w:b/>
          <w:sz w:val="28"/>
        </w:rPr>
        <w:t>月</w:t>
      </w:r>
      <w:r>
        <w:rPr>
          <w:rFonts w:hint="default" w:ascii="Times New Roman" w:hAnsi="Times New Roman" w:cs="Times New Roman"/>
          <w:b/>
          <w:sz w:val="28"/>
          <w:lang w:val="en-US" w:eastAsia="zh-CN"/>
        </w:rPr>
        <w:t>30</w:t>
      </w:r>
      <w:r>
        <w:rPr>
          <w:rFonts w:hint="default" w:ascii="Times New Roman" w:hAnsi="Times New Roman" w:cs="Times New Roman"/>
          <w:b/>
          <w:sz w:val="28"/>
        </w:rPr>
        <w:t>日</w:t>
      </w:r>
    </w:p>
    <w:p>
      <w:pPr>
        <w:rPr>
          <w:rFonts w:hint="default" w:ascii="Times New Roman" w:hAnsi="Times New Roman" w:cs="Times New Roman"/>
        </w:rPr>
      </w:pPr>
    </w:p>
    <w:sectPr>
      <w:headerReference r:id="rId3" w:type="default"/>
      <w:footerReference r:id="rId4" w:type="default"/>
      <w:pgSz w:w="11900" w:h="16838"/>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swiss"/>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567B8"/>
    <w:rsid w:val="00AA709B"/>
    <w:rsid w:val="0265787C"/>
    <w:rsid w:val="073A3C88"/>
    <w:rsid w:val="08C62C1D"/>
    <w:rsid w:val="0A161C2C"/>
    <w:rsid w:val="0C9C373F"/>
    <w:rsid w:val="0F84061B"/>
    <w:rsid w:val="0FB41753"/>
    <w:rsid w:val="10673E15"/>
    <w:rsid w:val="127D4C86"/>
    <w:rsid w:val="14BC2499"/>
    <w:rsid w:val="17206E60"/>
    <w:rsid w:val="1A0165A8"/>
    <w:rsid w:val="1E156C6F"/>
    <w:rsid w:val="1F1C3919"/>
    <w:rsid w:val="1F9B794E"/>
    <w:rsid w:val="27062C84"/>
    <w:rsid w:val="28CD0A6E"/>
    <w:rsid w:val="2B65000A"/>
    <w:rsid w:val="2D277FB9"/>
    <w:rsid w:val="2DC46CDF"/>
    <w:rsid w:val="406E4841"/>
    <w:rsid w:val="40A807D9"/>
    <w:rsid w:val="4101386B"/>
    <w:rsid w:val="426425C5"/>
    <w:rsid w:val="47BF18E0"/>
    <w:rsid w:val="47D8619B"/>
    <w:rsid w:val="4BCE0856"/>
    <w:rsid w:val="4EBF69FA"/>
    <w:rsid w:val="51AB2CEA"/>
    <w:rsid w:val="57272458"/>
    <w:rsid w:val="57503CCA"/>
    <w:rsid w:val="58FC694F"/>
    <w:rsid w:val="5AB6701A"/>
    <w:rsid w:val="654E1091"/>
    <w:rsid w:val="69C42F6D"/>
    <w:rsid w:val="6AAE7BFA"/>
    <w:rsid w:val="6C4E4351"/>
    <w:rsid w:val="6CE4333E"/>
    <w:rsid w:val="6D0B31AB"/>
    <w:rsid w:val="6EDA396D"/>
    <w:rsid w:val="71392767"/>
    <w:rsid w:val="74300CEB"/>
    <w:rsid w:val="770567B8"/>
    <w:rsid w:val="772F0F43"/>
    <w:rsid w:val="7A443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heme="minorBidi"/>
      <w:kern w:val="2"/>
      <w:sz w:val="21"/>
      <w:szCs w:val="22"/>
      <w:lang w:val="en-US" w:eastAsia="zh-CN"/>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hint="eastAsia"/>
      <w:sz w:val="18"/>
    </w:rPr>
  </w:style>
  <w:style w:type="paragraph" w:styleId="4">
    <w:name w:val="header"/>
    <w:basedOn w:val="1"/>
    <w:qFormat/>
    <w:uiPriority w:val="0"/>
    <w:pPr>
      <w:tabs>
        <w:tab w:val="center" w:pos="4153"/>
        <w:tab w:val="right" w:pos="8306"/>
      </w:tabs>
      <w:snapToGrid w:val="0"/>
    </w:pPr>
    <w:rPr>
      <w:rFonts w:hint="eastAsia"/>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p15"/>
    <w:basedOn w:val="1"/>
    <w:qFormat/>
    <w:uiPriority w:val="0"/>
    <w:pPr>
      <w:widowControl/>
    </w:pPr>
    <w:rPr>
      <w:rFonts w:ascii="Times New Roman" w:hAnsi="Times New Roman" w:eastAsia="宋体" w:cs="Times New Roman"/>
      <w:kern w:val="0"/>
      <w:szCs w:val="21"/>
    </w:rPr>
  </w:style>
  <w:style w:type="character" w:customStyle="1" w:styleId="10">
    <w:name w:val="fontstyle01"/>
    <w:basedOn w:val="5"/>
    <w:qFormat/>
    <w:uiPriority w:val="0"/>
    <w:rPr>
      <w:rFonts w:ascii="仿宋_GB2312" w:eastAsia="仿宋_GB2312" w:cs="仿宋_GB2312"/>
      <w:color w:val="000000"/>
      <w:sz w:val="30"/>
      <w:szCs w:val="30"/>
    </w:rPr>
  </w:style>
  <w:style w:type="character" w:customStyle="1" w:styleId="11">
    <w:name w:val="font11"/>
    <w:qFormat/>
    <w:uiPriority w:val="0"/>
    <w:rPr>
      <w:rFonts w:hint="default" w:ascii="Times New Roman" w:hAnsi="Times New Roman" w:cs="Times New Roman"/>
      <w:color w:val="000000"/>
      <w:sz w:val="18"/>
      <w:szCs w:val="18"/>
      <w:u w:val="none"/>
    </w:rPr>
  </w:style>
  <w:style w:type="character" w:customStyle="1" w:styleId="12">
    <w:name w:val="font3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2017-03-15T07:46:00Z</dcterms:created>
  <dc:creator>习志鹏</dc:creator>
  <cp:lastModifiedBy>xizhipeng</cp:lastModifiedBy>
  <dcterms:modified xsi:type="dcterms:W3CDTF">2018-10-25T05:24:07Z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