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tabs>
          <w:tab w:val="left" w:pos="8080"/>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Times New Roman" w:hAnsi="Times New Roman" w:cs="Times New Roman"/>
          <w:b/>
          <w:bCs/>
          <w:szCs w:val="21"/>
        </w:rPr>
      </w:pPr>
      <w:r>
        <w:rPr>
          <w:rFonts w:hint="default" w:ascii="Times New Roman" w:hAnsi="Times New Roman" w:cs="Times New Roman"/>
          <w:b/>
          <w:bCs/>
          <w:szCs w:val="21"/>
        </w:rPr>
        <w:t>证券代码：000969              证券简称：安泰科技             公告编号：2017-0</w:t>
      </w:r>
      <w:r>
        <w:rPr>
          <w:rFonts w:hint="eastAsia" w:ascii="Times New Roman" w:hAnsi="Times New Roman" w:cs="Times New Roman"/>
          <w:b/>
          <w:bCs/>
          <w:szCs w:val="21"/>
          <w:lang w:val="en-US" w:eastAsia="zh-CN"/>
        </w:rPr>
        <w:t>43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imes New Roman" w:hAnsi="Times New Roman" w:eastAsia="黑体" w:cs="Times New Roman"/>
          <w:b/>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imes New Roman" w:hAnsi="Times New Roman" w:eastAsia="黑体" w:cs="Times New Roman"/>
          <w:b/>
          <w:sz w:val="32"/>
          <w:szCs w:val="32"/>
        </w:rPr>
      </w:pPr>
      <w:r>
        <w:rPr>
          <w:rFonts w:ascii="Times New Roman" w:hAnsi="Times New Roman" w:eastAsia="黑体" w:cs="Times New Roman"/>
          <w:b/>
          <w:sz w:val="32"/>
          <w:szCs w:val="32"/>
        </w:rPr>
        <w:t>安泰科技股份有限公司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Times New Roman" w:hAnsi="Times New Roman" w:eastAsia="黑体" w:cs="Times New Roman"/>
          <w:b/>
          <w:sz w:val="32"/>
          <w:szCs w:val="32"/>
        </w:rPr>
      </w:pPr>
      <w:r>
        <w:rPr>
          <w:rFonts w:hint="eastAsia" w:ascii="Times New Roman" w:hAnsi="Times New Roman" w:eastAsia="黑体" w:cs="Times New Roman"/>
          <w:b/>
          <w:sz w:val="32"/>
          <w:szCs w:val="32"/>
        </w:rPr>
        <w:t>关于全资子公司搬迁拟获得补偿款情况说明</w:t>
      </w:r>
      <w:r>
        <w:rPr>
          <w:rFonts w:hint="eastAsia" w:ascii="Times New Roman" w:hAnsi="Times New Roman" w:eastAsia="黑体" w:cs="Times New Roman"/>
          <w:b/>
          <w:sz w:val="32"/>
          <w:szCs w:val="32"/>
          <w:lang w:eastAsia="zh-CN"/>
        </w:rPr>
        <w:t>的公告</w:t>
      </w:r>
    </w:p>
    <w:p>
      <w:pPr>
        <w:spacing w:line="360" w:lineRule="auto"/>
        <w:ind w:firstLine="422" w:firstLineChars="200"/>
        <w:rPr>
          <w:rFonts w:hint="default" w:ascii="Times New Roman" w:hAnsi="Times New Roman" w:cs="Times New Roman"/>
          <w:b/>
          <w:bCs/>
          <w:szCs w:val="21"/>
          <w:highlight w:val="none"/>
        </w:rPr>
      </w:pPr>
    </w:p>
    <w:p>
      <w:pPr>
        <w:spacing w:line="360" w:lineRule="auto"/>
        <w:ind w:firstLine="422" w:firstLineChars="200"/>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本公司及董事会全体成员保证信息披露的内容真实、准确、完整，没有虚假记载、误导性陈述或重大遗漏。</w:t>
      </w:r>
    </w:p>
    <w:p>
      <w:pPr>
        <w:spacing w:line="360" w:lineRule="auto"/>
        <w:jc w:val="center"/>
        <w:rPr>
          <w:rFonts w:ascii="Times New Roman" w:hAnsi="Times New Roman" w:eastAsia="黑体" w:cs="Times New Roman"/>
          <w:b/>
          <w:sz w:val="32"/>
          <w:szCs w:val="32"/>
        </w:rPr>
      </w:pPr>
    </w:p>
    <w:p>
      <w:pPr>
        <w:numPr>
          <w:ilvl w:val="0"/>
          <w:numId w:val="1"/>
        </w:num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关于涉及</w:t>
      </w:r>
      <w:r>
        <w:rPr>
          <w:rFonts w:ascii="Times New Roman" w:hAnsi="Times New Roman" w:cs="Times New Roman"/>
          <w:b/>
          <w:bCs/>
          <w:sz w:val="24"/>
          <w:szCs w:val="24"/>
        </w:rPr>
        <w:t>政府补助</w:t>
      </w:r>
      <w:r>
        <w:rPr>
          <w:rFonts w:hint="eastAsia" w:ascii="Times New Roman" w:hAnsi="Times New Roman" w:cs="Times New Roman"/>
          <w:b/>
          <w:bCs/>
          <w:sz w:val="24"/>
          <w:szCs w:val="24"/>
        </w:rPr>
        <w:t>事项背景</w:t>
      </w:r>
    </w:p>
    <w:p>
      <w:pPr>
        <w:spacing w:line="360" w:lineRule="auto"/>
        <w:ind w:firstLine="480" w:firstLineChars="200"/>
        <w:rPr>
          <w:rFonts w:ascii="Times New Roman" w:hAnsi="Times New Roman" w:cs="Times New Roman"/>
          <w:sz w:val="24"/>
          <w:szCs w:val="24"/>
        </w:rPr>
      </w:pPr>
      <w:r>
        <w:rPr>
          <w:rFonts w:ascii="Times New Roman" w:hAnsi="宋体"/>
          <w:bCs/>
          <w:sz w:val="24"/>
          <w:szCs w:val="24"/>
        </w:rPr>
        <w:t>为顺应国家产业发展政策和</w:t>
      </w:r>
      <w:r>
        <w:rPr>
          <w:rFonts w:ascii="Times New Roman" w:hAnsi="Times New Roman"/>
          <w:bCs/>
          <w:sz w:val="24"/>
          <w:szCs w:val="24"/>
        </w:rPr>
        <w:t>“</w:t>
      </w:r>
      <w:r>
        <w:rPr>
          <w:rFonts w:ascii="Times New Roman" w:hAnsi="宋体"/>
          <w:bCs/>
          <w:sz w:val="24"/>
          <w:szCs w:val="24"/>
        </w:rPr>
        <w:t>京津冀协同发展</w:t>
      </w:r>
      <w:r>
        <w:rPr>
          <w:rFonts w:ascii="Times New Roman" w:hAnsi="Times New Roman"/>
          <w:bCs/>
          <w:sz w:val="24"/>
          <w:szCs w:val="24"/>
        </w:rPr>
        <w:t>”</w:t>
      </w:r>
      <w:r>
        <w:rPr>
          <w:rFonts w:ascii="Times New Roman" w:hAnsi="宋体"/>
          <w:bCs/>
          <w:sz w:val="24"/>
          <w:szCs w:val="24"/>
        </w:rPr>
        <w:t>国家战略的要求，充分发挥环渤海和京津</w:t>
      </w:r>
      <w:r>
        <w:rPr>
          <w:rFonts w:hint="eastAsia" w:ascii="Times New Roman" w:hAnsi="宋体"/>
          <w:bCs/>
          <w:sz w:val="24"/>
          <w:szCs w:val="24"/>
        </w:rPr>
        <w:t>唐</w:t>
      </w:r>
      <w:r>
        <w:rPr>
          <w:rFonts w:ascii="Times New Roman" w:hAnsi="宋体"/>
          <w:bCs/>
          <w:sz w:val="24"/>
          <w:szCs w:val="24"/>
        </w:rPr>
        <w:t>国家产业发展带的区位优势，实现企业的长期发展目标</w:t>
      </w:r>
      <w:r>
        <w:rPr>
          <w:rFonts w:hint="eastAsia" w:ascii="Times New Roman" w:hAnsi="宋体"/>
          <w:bCs/>
          <w:sz w:val="24"/>
          <w:szCs w:val="24"/>
        </w:rPr>
        <w:t>，</w:t>
      </w:r>
      <w:r>
        <w:rPr>
          <w:rFonts w:hint="eastAsia" w:ascii="Times New Roman" w:hAnsi="Times New Roman" w:cs="Times New Roman"/>
          <w:sz w:val="24"/>
          <w:szCs w:val="24"/>
        </w:rPr>
        <w:t>公司2015年12月29日披露的《安泰科技股份有限公司发行股份及支付现金购买资产并募集配套资金暨关联交易报告书（修订稿）》中对关于安泰天龙未来的搬迁计划做了整体的安排。</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为实现平稳搬迁，减少搬迁对生产经营的影响，安泰天龙</w:t>
      </w:r>
      <w:r>
        <w:rPr>
          <w:rFonts w:hint="eastAsia" w:ascii="Times New Roman" w:hAnsi="Times New Roman" w:cs="Times New Roman"/>
          <w:sz w:val="24"/>
          <w:szCs w:val="24"/>
        </w:rPr>
        <w:t>于2016年开始为整体搬迁做筹划准备工作</w:t>
      </w:r>
      <w:r>
        <w:rPr>
          <w:rFonts w:hint="eastAsia" w:ascii="Times New Roman" w:hAnsi="Times New Roman" w:cs="Times New Roman"/>
          <w:sz w:val="24"/>
          <w:szCs w:val="24"/>
          <w:lang w:eastAsia="zh-CN"/>
        </w:rPr>
        <w:t>；同时，加快了天津宝坻基地的建设速度，目前已全面具备承接业务、设备搬迁及扩产的各方面条件。近期根据</w:t>
      </w:r>
      <w:r>
        <w:rPr>
          <w:rFonts w:hint="eastAsia" w:ascii="Times New Roman" w:hAnsi="Times New Roman" w:cs="Times New Roman"/>
          <w:sz w:val="24"/>
          <w:szCs w:val="24"/>
        </w:rPr>
        <w:t>北京市城市副中心建设和北京市通州区的整体</w:t>
      </w:r>
      <w:r>
        <w:rPr>
          <w:rFonts w:hint="eastAsia" w:ascii="Times New Roman" w:hAnsi="Times New Roman" w:cs="Times New Roman"/>
          <w:sz w:val="24"/>
          <w:szCs w:val="24"/>
          <w:lang w:eastAsia="zh-CN"/>
        </w:rPr>
        <w:t>的规划</w:t>
      </w:r>
      <w:r>
        <w:rPr>
          <w:rFonts w:hint="eastAsia" w:ascii="Times New Roman" w:hAnsi="Times New Roman" w:cs="Times New Roman"/>
          <w:sz w:val="24"/>
          <w:szCs w:val="24"/>
        </w:rPr>
        <w:t>安排，安泰天龙</w:t>
      </w:r>
      <w:r>
        <w:rPr>
          <w:rFonts w:hint="eastAsia" w:ascii="Times New Roman" w:hAnsi="Times New Roman" w:cs="Times New Roman"/>
          <w:sz w:val="24"/>
          <w:szCs w:val="24"/>
        </w:rPr>
        <w:t>调整了搬迁计划，于2017年7月开始</w:t>
      </w:r>
      <w:r>
        <w:rPr>
          <w:rFonts w:hint="eastAsia" w:ascii="Times New Roman" w:hAnsi="Times New Roman" w:cs="Times New Roman"/>
          <w:sz w:val="24"/>
          <w:szCs w:val="24"/>
          <w:lang w:eastAsia="zh-CN"/>
        </w:rPr>
        <w:t>正式</w:t>
      </w:r>
      <w:r>
        <w:rPr>
          <w:rFonts w:hint="eastAsia" w:ascii="Times New Roman" w:hAnsi="Times New Roman" w:cs="Times New Roman"/>
          <w:sz w:val="24"/>
          <w:szCs w:val="24"/>
        </w:rPr>
        <w:t>搬迁</w:t>
      </w:r>
      <w:r>
        <w:rPr>
          <w:rFonts w:hint="eastAsia" w:ascii="Times New Roman" w:hAnsi="Times New Roman" w:cs="Times New Roman"/>
          <w:sz w:val="24"/>
          <w:szCs w:val="24"/>
          <w:lang w:eastAsia="zh-CN"/>
        </w:rPr>
        <w:t>工作</w:t>
      </w:r>
      <w:r>
        <w:rPr>
          <w:rFonts w:hint="eastAsia" w:ascii="Times New Roman" w:hAnsi="Times New Roman" w:cs="Times New Roman"/>
          <w:sz w:val="24"/>
          <w:szCs w:val="24"/>
        </w:rPr>
        <w:t>。</w:t>
      </w:r>
    </w:p>
    <w:p>
      <w:pPr>
        <w:numPr>
          <w:ilvl w:val="0"/>
          <w:numId w:val="1"/>
        </w:num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关于搬迁涉及补偿相关事项的说明</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根据北京市政府搬迁补偿政策，</w:t>
      </w:r>
      <w:r>
        <w:rPr>
          <w:rFonts w:ascii="Times New Roman" w:hAnsi="Times New Roman" w:cs="Times New Roman"/>
          <w:sz w:val="24"/>
          <w:szCs w:val="24"/>
        </w:rPr>
        <w:t>安泰天龙</w:t>
      </w:r>
      <w:r>
        <w:rPr>
          <w:rFonts w:hint="eastAsia" w:ascii="Times New Roman" w:hAnsi="Times New Roman" w:cs="Times New Roman"/>
          <w:sz w:val="24"/>
          <w:szCs w:val="24"/>
        </w:rPr>
        <w:t>本次搬迁拟获得政府补偿款的内容主要包括：停产停业损失补偿费、企业搬迁补助、大型设备移机费、材料迁移补助等。搬迁补偿总金额初步确定为169,995,170元，最终搬迁补偿总金额和《搬迁补偿协议》须由政府审计完成后才能最后确认和签订。</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为鼓励加快搬迁进度，</w:t>
      </w:r>
      <w:r>
        <w:rPr>
          <w:rFonts w:hint="eastAsia" w:ascii="Times New Roman" w:hAnsi="Times New Roman" w:cs="Times New Roman"/>
          <w:sz w:val="24"/>
          <w:szCs w:val="24"/>
          <w:lang w:eastAsia="zh-CN"/>
        </w:rPr>
        <w:t>当地</w:t>
      </w:r>
      <w:r>
        <w:rPr>
          <w:rFonts w:hint="eastAsia" w:ascii="Times New Roman" w:hAnsi="Times New Roman" w:cs="Times New Roman"/>
          <w:sz w:val="24"/>
          <w:szCs w:val="24"/>
        </w:rPr>
        <w:t>政府于2017年7月支付安泰天龙搬迁预付款93,646,886元，作为搬迁启动</w:t>
      </w:r>
      <w:r>
        <w:rPr>
          <w:rFonts w:hint="eastAsia" w:ascii="Times New Roman" w:hAnsi="Times New Roman" w:cs="Times New Roman"/>
          <w:sz w:val="24"/>
          <w:szCs w:val="24"/>
          <w:lang w:eastAsia="zh-CN"/>
        </w:rPr>
        <w:t>的前期</w:t>
      </w:r>
      <w:r>
        <w:rPr>
          <w:rFonts w:hint="eastAsia" w:ascii="Times New Roman" w:hAnsi="Times New Roman" w:cs="Times New Roman"/>
          <w:sz w:val="24"/>
          <w:szCs w:val="24"/>
        </w:rPr>
        <w:t>费用，公司目前将上述款项计入专项应付款。</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三、目前的进展情况</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eastAsia="zh-CN"/>
        </w:rPr>
        <w:t>截至目前，</w:t>
      </w:r>
      <w:r>
        <w:rPr>
          <w:rFonts w:hint="eastAsia" w:ascii="Times New Roman" w:hAnsi="Times New Roman" w:cs="Times New Roman"/>
          <w:sz w:val="24"/>
          <w:szCs w:val="24"/>
        </w:rPr>
        <w:t>公司尚未收到任何政府有关部门下发的涉及搬迁补助事项的通知或函件以及未与任何有关单位签署相关协议</w:t>
      </w:r>
      <w:r>
        <w:rPr>
          <w:rFonts w:hint="eastAsia" w:ascii="Times New Roman" w:hAnsi="Times New Roman" w:cs="Times New Roman"/>
          <w:sz w:val="24"/>
          <w:szCs w:val="24"/>
          <w:lang w:eastAsia="zh-CN"/>
        </w:rPr>
        <w:t>。但是，鉴于</w:t>
      </w:r>
      <w:r>
        <w:rPr>
          <w:rFonts w:hint="eastAsia" w:ascii="Times New Roman" w:hAnsi="Times New Roman" w:cs="Times New Roman"/>
          <w:sz w:val="24"/>
          <w:szCs w:val="24"/>
        </w:rPr>
        <w:t>安泰天龙通州基地的搬</w:t>
      </w:r>
      <w:bookmarkStart w:id="0" w:name="_GoBack"/>
      <w:bookmarkEnd w:id="0"/>
      <w:r>
        <w:rPr>
          <w:rFonts w:hint="eastAsia" w:ascii="Times New Roman" w:hAnsi="Times New Roman" w:cs="Times New Roman"/>
          <w:sz w:val="24"/>
          <w:szCs w:val="24"/>
        </w:rPr>
        <w:t>迁工作目前已完成80%</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公司</w:t>
      </w:r>
      <w:r>
        <w:rPr>
          <w:rFonts w:hint="eastAsia" w:ascii="Times New Roman" w:hAnsi="Times New Roman" w:cs="Times New Roman"/>
          <w:sz w:val="24"/>
          <w:szCs w:val="24"/>
          <w:lang w:eastAsia="zh-CN"/>
        </w:rPr>
        <w:t>拟正式启动</w:t>
      </w:r>
      <w:r>
        <w:rPr>
          <w:rFonts w:hint="eastAsia" w:ascii="Times New Roman" w:hAnsi="Times New Roman" w:cs="Times New Roman"/>
          <w:sz w:val="24"/>
          <w:szCs w:val="24"/>
        </w:rPr>
        <w:t>与政府有关部门</w:t>
      </w:r>
      <w:r>
        <w:rPr>
          <w:rFonts w:hint="eastAsia" w:ascii="Times New Roman" w:hAnsi="Times New Roman" w:cs="Times New Roman"/>
          <w:sz w:val="24"/>
          <w:szCs w:val="24"/>
          <w:lang w:eastAsia="zh-CN"/>
        </w:rPr>
        <w:t>的</w:t>
      </w:r>
      <w:r>
        <w:rPr>
          <w:rFonts w:hint="eastAsia" w:ascii="Times New Roman" w:hAnsi="Times New Roman" w:cs="Times New Roman"/>
          <w:sz w:val="24"/>
          <w:szCs w:val="24"/>
        </w:rPr>
        <w:t>沟通</w:t>
      </w:r>
      <w:r>
        <w:rPr>
          <w:rFonts w:hint="eastAsia" w:ascii="Times New Roman" w:hAnsi="Times New Roman" w:cs="Times New Roman"/>
          <w:sz w:val="24"/>
          <w:szCs w:val="24"/>
          <w:lang w:eastAsia="zh-CN"/>
        </w:rPr>
        <w:t>工作</w:t>
      </w:r>
      <w:r>
        <w:rPr>
          <w:rFonts w:hint="eastAsia" w:ascii="Times New Roman" w:hAnsi="Times New Roman" w:cs="Times New Roman"/>
          <w:sz w:val="24"/>
          <w:szCs w:val="24"/>
        </w:rPr>
        <w:t>，推进对搬迁补助事项的审计</w:t>
      </w:r>
      <w:r>
        <w:rPr>
          <w:rFonts w:hint="eastAsia" w:ascii="Times New Roman" w:hAnsi="Times New Roman" w:cs="Times New Roman"/>
          <w:sz w:val="24"/>
          <w:szCs w:val="24"/>
          <w:lang w:eastAsia="zh-CN"/>
        </w:rPr>
        <w:t>事宜；</w:t>
      </w:r>
      <w:r>
        <w:rPr>
          <w:rFonts w:hint="eastAsia" w:ascii="Times New Roman" w:hAnsi="Times New Roman" w:cs="Times New Roman"/>
          <w:sz w:val="24"/>
          <w:szCs w:val="24"/>
        </w:rPr>
        <w:t>审计完成后，公司将及时披露相关信息并按照会计准则的要求确认最终补偿金额以及各项补偿项目的最终金额。</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预计该补偿款对公司业绩有一定积极影响。</w:t>
      </w:r>
    </w:p>
    <w:p>
      <w:pPr>
        <w:wordWrap w:val="0"/>
        <w:spacing w:line="360" w:lineRule="auto"/>
        <w:ind w:left="420" w:leftChars="200"/>
        <w:jc w:val="right"/>
        <w:rPr>
          <w:rFonts w:ascii="Times New Roman" w:hAnsi="Times New Roman" w:cs="Times New Roman"/>
          <w:b/>
          <w:bCs/>
          <w:sz w:val="24"/>
          <w:szCs w:val="24"/>
        </w:rPr>
      </w:pPr>
    </w:p>
    <w:p>
      <w:pPr>
        <w:spacing w:line="360" w:lineRule="auto"/>
        <w:ind w:left="420" w:leftChars="200"/>
        <w:jc w:val="right"/>
        <w:rPr>
          <w:rFonts w:hint="eastAsia" w:ascii="Times New Roman" w:hAnsi="Times New Roman" w:cs="Times New Roman"/>
          <w:b/>
          <w:bCs/>
          <w:sz w:val="24"/>
          <w:szCs w:val="24"/>
        </w:rPr>
      </w:pPr>
      <w:r>
        <w:rPr>
          <w:rFonts w:hint="eastAsia" w:ascii="Times New Roman" w:hAnsi="Times New Roman" w:cs="Times New Roman"/>
          <w:b/>
          <w:bCs/>
          <w:sz w:val="24"/>
          <w:szCs w:val="24"/>
        </w:rPr>
        <w:t xml:space="preserve"> </w:t>
      </w:r>
    </w:p>
    <w:p>
      <w:pPr>
        <w:spacing w:line="360" w:lineRule="auto"/>
        <w:ind w:left="420" w:leftChars="200"/>
        <w:jc w:val="right"/>
        <w:rPr>
          <w:rFonts w:hint="eastAsia" w:ascii="Times New Roman" w:hAnsi="Times New Roman" w:cs="Times New Roman"/>
          <w:b/>
          <w:bCs/>
          <w:sz w:val="24"/>
          <w:szCs w:val="24"/>
        </w:rPr>
      </w:pPr>
    </w:p>
    <w:p>
      <w:pPr>
        <w:spacing w:line="360" w:lineRule="auto"/>
        <w:ind w:left="420" w:leftChars="200"/>
        <w:jc w:val="right"/>
        <w:rPr>
          <w:rFonts w:ascii="Times New Roman" w:hAnsi="Times New Roman" w:cs="Times New Roman"/>
          <w:b/>
          <w:bCs/>
          <w:sz w:val="24"/>
          <w:szCs w:val="24"/>
        </w:rPr>
      </w:pPr>
      <w:r>
        <w:rPr>
          <w:rFonts w:hint="eastAsia" w:ascii="Times New Roman" w:hAnsi="Times New Roman" w:cs="Times New Roman"/>
          <w:b/>
          <w:bCs/>
          <w:sz w:val="24"/>
          <w:szCs w:val="24"/>
        </w:rPr>
        <w:t xml:space="preserve"> 安泰科技股份有限公司</w:t>
      </w:r>
      <w:r>
        <w:rPr>
          <w:rFonts w:hint="eastAsia" w:ascii="Times New Roman" w:hAnsi="Times New Roman" w:cs="Times New Roman"/>
          <w:b/>
          <w:bCs/>
          <w:sz w:val="24"/>
          <w:szCs w:val="24"/>
          <w:lang w:eastAsia="zh-CN"/>
        </w:rPr>
        <w:t>董事会</w:t>
      </w:r>
    </w:p>
    <w:p>
      <w:pPr>
        <w:spacing w:line="360" w:lineRule="auto"/>
        <w:ind w:left="420" w:leftChars="200"/>
        <w:jc w:val="center"/>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4"/>
          <w:szCs w:val="24"/>
        </w:rPr>
        <w:t>2017年10月2</w:t>
      </w:r>
      <w:r>
        <w:rPr>
          <w:rFonts w:hint="eastAsia" w:ascii="Times New Roman" w:hAnsi="Times New Roman" w:cs="Times New Roman"/>
          <w:b/>
          <w:bCs/>
          <w:sz w:val="24"/>
          <w:szCs w:val="24"/>
          <w:lang w:val="en-US" w:eastAsia="zh-CN"/>
        </w:rPr>
        <w:t>7</w:t>
      </w:r>
      <w:r>
        <w:rPr>
          <w:rFonts w:hint="eastAsia" w:ascii="Times New Roman" w:hAnsi="Times New Roman" w:cs="Times New Roman"/>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Arial Narrow">
    <w:altName w:val="Arial"/>
    <w:panose1 w:val="020B0606020202030204"/>
    <w:charset w:val="00"/>
    <w:family w:val="roman"/>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Arial Narrow">
    <w:altName w:val="Arial"/>
    <w:panose1 w:val="020B0606020202030204"/>
    <w:charset w:val="00"/>
    <w:family w:val="moder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swiss"/>
    <w:pitch w:val="default"/>
    <w:sig w:usb0="00000000" w:usb1="00000000" w:usb2="00000000" w:usb3="00000000" w:csb0="00040000" w:csb1="00000000"/>
  </w:font>
  <w:font w:name="Arial Narrow">
    <w:altName w:val="Arial"/>
    <w:panose1 w:val="020B0606020202030204"/>
    <w:charset w:val="00"/>
    <w:family w:val="decorative"/>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8832410">
    <w:nsid w:val="59EEF49A"/>
    <w:multiLevelType w:val="singleLevel"/>
    <w:tmpl w:val="59EEF49A"/>
    <w:lvl w:ilvl="0" w:tentative="1">
      <w:start w:val="1"/>
      <w:numFmt w:val="chineseCounting"/>
      <w:suff w:val="nothing"/>
      <w:lvlText w:val="%1、"/>
      <w:lvlJc w:val="left"/>
    </w:lvl>
  </w:abstractNum>
  <w:num w:numId="1">
    <w:abstractNumId w:val="15088324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91"/>
    <w:rsid w:val="000C55DA"/>
    <w:rsid w:val="001123F2"/>
    <w:rsid w:val="00297A1C"/>
    <w:rsid w:val="00373F1C"/>
    <w:rsid w:val="003D6ADA"/>
    <w:rsid w:val="003E75A5"/>
    <w:rsid w:val="005D44A4"/>
    <w:rsid w:val="005D5C80"/>
    <w:rsid w:val="006404FB"/>
    <w:rsid w:val="00705EC6"/>
    <w:rsid w:val="00832919"/>
    <w:rsid w:val="008E5938"/>
    <w:rsid w:val="00947C1F"/>
    <w:rsid w:val="00A53F9E"/>
    <w:rsid w:val="00A63F91"/>
    <w:rsid w:val="00B07D6F"/>
    <w:rsid w:val="00B63D95"/>
    <w:rsid w:val="00BE42E3"/>
    <w:rsid w:val="00CE3A26"/>
    <w:rsid w:val="00E04788"/>
    <w:rsid w:val="00EB5A51"/>
    <w:rsid w:val="00F023ED"/>
    <w:rsid w:val="04A6582D"/>
    <w:rsid w:val="053444DD"/>
    <w:rsid w:val="07671952"/>
    <w:rsid w:val="11BF4CAB"/>
    <w:rsid w:val="17142269"/>
    <w:rsid w:val="1A753679"/>
    <w:rsid w:val="1FC66659"/>
    <w:rsid w:val="217A6C7B"/>
    <w:rsid w:val="248420F6"/>
    <w:rsid w:val="2DC72229"/>
    <w:rsid w:val="31A825D0"/>
    <w:rsid w:val="34C83309"/>
    <w:rsid w:val="3B364634"/>
    <w:rsid w:val="3C2A657D"/>
    <w:rsid w:val="3DDD580C"/>
    <w:rsid w:val="50A92BC5"/>
    <w:rsid w:val="5A384793"/>
    <w:rsid w:val="61293077"/>
    <w:rsid w:val="61AC398A"/>
    <w:rsid w:val="646060BC"/>
    <w:rsid w:val="65C03B88"/>
    <w:rsid w:val="681D7F39"/>
    <w:rsid w:val="746426F6"/>
    <w:rsid w:val="74F26A6B"/>
    <w:rsid w:val="77430539"/>
    <w:rsid w:val="7B8937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qFormat/>
    <w:uiPriority w:val="0"/>
    <w:rPr>
      <w:b/>
      <w:bCs/>
    </w:r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0"/>
    <w:rPr>
      <w:kern w:val="2"/>
      <w:sz w:val="18"/>
      <w:szCs w:val="18"/>
    </w:rPr>
  </w:style>
  <w:style w:type="character" w:customStyle="1" w:styleId="12">
    <w:name w:val="页脚 Char"/>
    <w:basedOn w:val="7"/>
    <w:link w:val="5"/>
    <w:qFormat/>
    <w:uiPriority w:val="0"/>
    <w:rPr>
      <w:kern w:val="2"/>
      <w:sz w:val="18"/>
      <w:szCs w:val="18"/>
    </w:rPr>
  </w:style>
  <w:style w:type="character" w:customStyle="1" w:styleId="13">
    <w:name w:val="批注文字 Char"/>
    <w:basedOn w:val="7"/>
    <w:link w:val="3"/>
    <w:qFormat/>
    <w:uiPriority w:val="0"/>
    <w:rPr>
      <w:kern w:val="2"/>
      <w:sz w:val="21"/>
      <w:szCs w:val="22"/>
    </w:rPr>
  </w:style>
  <w:style w:type="character" w:customStyle="1" w:styleId="14">
    <w:name w:val="批注主题 Char"/>
    <w:basedOn w:val="13"/>
    <w:link w:val="2"/>
    <w:qFormat/>
    <w:uiPriority w:val="0"/>
    <w:rPr>
      <w:b/>
      <w:bCs/>
    </w:rPr>
  </w:style>
  <w:style w:type="character" w:customStyle="1" w:styleId="15">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587</Characters>
  <Lines>4</Lines>
  <Paragraphs>1</Paragraphs>
  <ScaleCrop>false</ScaleCrop>
  <LinksUpToDate>false</LinksUpToDate>
  <CharactersWithSpaces>688</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2017-10-25T08:20:00Z</dcterms:created>
  <dc:creator>Rico Nie</dc:creator>
  <cp:lastModifiedBy>Rico Nie</cp:lastModifiedBy>
  <cp:lastPrinted>2017-10-26T08:03:00Z</cp:lastPrinted>
  <dcterms:modified xsi:type="dcterms:W3CDTF">2017-10-26T08:08:30Z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