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autoSpaceDE w:val="0"/>
        <w:autoSpaceDN w:val="0"/>
        <w:adjustRightInd w:val="0"/>
        <w:jc w:val="left"/>
        <w:rPr>
          <w:rFonts w:hint="default" w:ascii="Times New Roman" w:hAnsi="Times New Roman" w:eastAsia="Times New Roman" w:cs="Times New Roman"/>
          <w:b/>
          <w:kern w:val="0"/>
          <w:sz w:val="21"/>
        </w:rPr>
      </w:pPr>
      <w:r>
        <w:rPr>
          <w:rFonts w:hint="default" w:ascii="Times New Roman" w:hAnsi="Times New Roman" w:cs="Times New Roman"/>
          <w:b/>
          <w:kern w:val="0"/>
          <w:sz w:val="21"/>
        </w:rPr>
        <w:t>证券代码：000969</w:t>
      </w:r>
      <w:r>
        <w:rPr>
          <w:rFonts w:hint="default" w:ascii="Times New Roman" w:hAnsi="Times New Roman" w:eastAsia="Times New Roman" w:cs="Times New Roman"/>
          <w:b/>
          <w:kern w:val="0"/>
          <w:sz w:val="21"/>
        </w:rPr>
        <w:t xml:space="preserve"> </w:t>
      </w:r>
      <w:r>
        <w:rPr>
          <w:rFonts w:hint="default" w:ascii="Times New Roman" w:hAnsi="Times New Roman" w:cs="Times New Roman"/>
          <w:b/>
          <w:kern w:val="0"/>
          <w:sz w:val="21"/>
          <w:lang w:val="en-US" w:eastAsia="zh-CN"/>
        </w:rPr>
        <w:t xml:space="preserve">            </w:t>
      </w:r>
      <w:r>
        <w:rPr>
          <w:rFonts w:hint="default" w:ascii="Times New Roman" w:hAnsi="Times New Roman" w:cs="Times New Roman"/>
          <w:b/>
          <w:kern w:val="0"/>
          <w:sz w:val="21"/>
        </w:rPr>
        <w:t xml:space="preserve">证券简称：安泰科技    </w:t>
      </w:r>
      <w:r>
        <w:rPr>
          <w:rFonts w:hint="default" w:ascii="Times New Roman" w:hAnsi="Times New Roman" w:cs="Times New Roman"/>
          <w:b/>
          <w:kern w:val="0"/>
          <w:sz w:val="21"/>
          <w:lang w:val="en-US" w:eastAsia="zh-CN"/>
        </w:rPr>
        <w:t xml:space="preserve">        </w:t>
      </w:r>
      <w:r>
        <w:rPr>
          <w:rFonts w:hint="default" w:ascii="Times New Roman" w:hAnsi="Times New Roman" w:eastAsia="Times New Roman" w:cs="Times New Roman"/>
          <w:b/>
          <w:kern w:val="0"/>
          <w:sz w:val="21"/>
        </w:rPr>
        <w:t xml:space="preserve"> </w:t>
      </w:r>
      <w:r>
        <w:rPr>
          <w:rFonts w:hint="default" w:ascii="Times New Roman" w:hAnsi="Times New Roman" w:cs="Times New Roman"/>
          <w:b/>
          <w:kern w:val="0"/>
          <w:sz w:val="21"/>
        </w:rPr>
        <w:t>公告编号：201</w:t>
      </w:r>
      <w:r>
        <w:rPr>
          <w:rFonts w:hint="default" w:ascii="Times New Roman" w:hAnsi="Times New Roman" w:cs="Times New Roman"/>
          <w:b/>
          <w:kern w:val="0"/>
          <w:sz w:val="21"/>
          <w:lang w:val="en-US" w:eastAsia="zh-CN"/>
        </w:rPr>
        <w:t>7</w:t>
      </w:r>
      <w:r>
        <w:rPr>
          <w:rFonts w:hint="default" w:ascii="Times New Roman" w:hAnsi="Times New Roman" w:eastAsia="Times New Roman" w:cs="Times New Roman"/>
          <w:b/>
          <w:kern w:val="0"/>
          <w:sz w:val="21"/>
        </w:rPr>
        <w:t>-0</w:t>
      </w:r>
      <w:r>
        <w:rPr>
          <w:rFonts w:hint="default" w:ascii="Times New Roman" w:hAnsi="Times New Roman" w:eastAsia="宋体" w:cs="Times New Roman"/>
          <w:b/>
          <w:kern w:val="0"/>
          <w:sz w:val="21"/>
          <w:lang w:val="en-US" w:eastAsia="zh-CN"/>
        </w:rPr>
        <w:t>0</w:t>
      </w:r>
      <w:r>
        <w:rPr>
          <w:rFonts w:hint="eastAsia" w:cs="Times New Roman"/>
          <w:b/>
          <w:kern w:val="0"/>
          <w:sz w:val="21"/>
          <w:lang w:val="en-US" w:eastAsia="zh-CN"/>
        </w:rPr>
        <w:t>9</w:t>
      </w:r>
    </w:p>
    <w:p>
      <w:pPr>
        <w:autoSpaceDE w:val="0"/>
        <w:autoSpaceDN w:val="0"/>
        <w:adjustRightInd w:val="0"/>
        <w:jc w:val="left"/>
        <w:rPr>
          <w:rFonts w:hint="default" w:ascii="Times New Roman" w:hAnsi="Times New Roman" w:cs="Times New Roman"/>
          <w:b/>
          <w:bCs/>
          <w:kern w:val="0"/>
        </w:rPr>
      </w:pPr>
      <w:r>
        <w:rPr>
          <w:rFonts w:hint="default" w:ascii="Times New Roman" w:hAnsi="Times New Roman" w:cs="Times New Roman"/>
          <w:b/>
          <w:bCs/>
          <w:kern w:val="0"/>
        </w:rPr>
        <w:t>债券代码：112101             债券简称：12安泰债</w:t>
      </w:r>
    </w:p>
    <w:p>
      <w:pPr>
        <w:autoSpaceDE w:val="0"/>
        <w:autoSpaceDN w:val="0"/>
        <w:adjustRightInd w:val="0"/>
        <w:spacing w:line="480" w:lineRule="auto"/>
        <w:jc w:val="center"/>
        <w:rPr>
          <w:rFonts w:hint="default" w:ascii="Times New Roman" w:hAnsi="Times New Roman" w:eastAsia="Times New Roman" w:cs="Times New Roman"/>
          <w:kern w:val="0"/>
          <w:sz w:val="30"/>
        </w:rPr>
      </w:pPr>
    </w:p>
    <w:p>
      <w:pPr>
        <w:autoSpaceDE w:val="0"/>
        <w:autoSpaceDN w:val="0"/>
        <w:adjustRightInd w:val="0"/>
        <w:spacing w:line="480" w:lineRule="auto"/>
        <w:jc w:val="center"/>
        <w:rPr>
          <w:rFonts w:hint="default" w:ascii="Times New Roman" w:hAnsi="Times New Roman" w:eastAsia="Times New Roman" w:cs="Times New Roman"/>
          <w:kern w:val="0"/>
          <w:sz w:val="30"/>
        </w:rPr>
      </w:pPr>
    </w:p>
    <w:p>
      <w:pPr>
        <w:spacing w:line="360" w:lineRule="auto"/>
        <w:jc w:val="center"/>
        <w:rPr>
          <w:rFonts w:hint="default" w:ascii="Times New Roman" w:hAnsi="Times New Roman" w:eastAsia="黑体" w:cs="Times New Roman"/>
          <w:b/>
          <w:sz w:val="32"/>
        </w:rPr>
      </w:pPr>
      <w:r>
        <w:rPr>
          <w:rFonts w:hint="default" w:ascii="Times New Roman" w:hAnsi="Times New Roman" w:eastAsia="黑体" w:cs="Times New Roman"/>
          <w:b/>
          <w:sz w:val="32"/>
        </w:rPr>
        <w:t>安泰科技股份有限公司</w:t>
      </w:r>
      <w:bookmarkStart w:id="0" w:name="OLE_LINK1"/>
      <w:bookmarkStart w:id="1" w:name="OLE_LINK2"/>
    </w:p>
    <w:p>
      <w:pPr>
        <w:spacing w:line="360" w:lineRule="auto"/>
        <w:jc w:val="center"/>
        <w:rPr>
          <w:rFonts w:hint="default" w:ascii="Times New Roman" w:hAnsi="Times New Roman" w:eastAsia="黑体" w:cs="Times New Roman"/>
          <w:b/>
          <w:sz w:val="32"/>
        </w:rPr>
      </w:pPr>
      <w:r>
        <w:rPr>
          <w:rFonts w:hint="default" w:ascii="Times New Roman" w:hAnsi="Times New Roman" w:eastAsia="黑体" w:cs="Times New Roman"/>
          <w:b/>
          <w:sz w:val="32"/>
        </w:rPr>
        <w:t>关于201</w:t>
      </w:r>
      <w:r>
        <w:rPr>
          <w:rFonts w:hint="default" w:ascii="Times New Roman" w:hAnsi="Times New Roman" w:eastAsia="黑体" w:cs="Times New Roman"/>
          <w:b/>
          <w:sz w:val="32"/>
          <w:lang w:val="en-US" w:eastAsia="zh-CN"/>
        </w:rPr>
        <w:t>6</w:t>
      </w:r>
      <w:r>
        <w:rPr>
          <w:rFonts w:hint="default" w:ascii="Times New Roman" w:hAnsi="Times New Roman" w:eastAsia="黑体" w:cs="Times New Roman"/>
          <w:b/>
          <w:sz w:val="32"/>
        </w:rPr>
        <w:t>年度计提资产减值准备的公告</w:t>
      </w:r>
    </w:p>
    <w:bookmarkEnd w:id="0"/>
    <w:bookmarkEnd w:id="1"/>
    <w:p>
      <w:pPr>
        <w:ind w:firstLine="420" w:firstLineChars="200"/>
        <w:rPr>
          <w:rFonts w:hint="default" w:ascii="Times New Roman" w:hAnsi="Times New Roman" w:cs="Times New Roman"/>
          <w:b/>
          <w:bCs/>
          <w:szCs w:val="21"/>
        </w:rPr>
      </w:pPr>
    </w:p>
    <w:p>
      <w:pPr>
        <w:ind w:firstLine="420" w:firstLineChars="200"/>
        <w:rPr>
          <w:rFonts w:hint="default" w:ascii="Times New Roman" w:hAnsi="Times New Roman" w:cs="Times New Roman"/>
          <w:b/>
          <w:bCs/>
          <w:szCs w:val="21"/>
        </w:rPr>
      </w:pPr>
      <w:r>
        <w:rPr>
          <w:rFonts w:hint="default" w:ascii="Times New Roman" w:hAnsi="Times New Roman" w:cs="Times New Roman"/>
          <w:b/>
          <w:bCs/>
          <w:szCs w:val="21"/>
        </w:rPr>
        <w:t>本公司及董事会全体成员保证信息披露的内容真实、准确、完整，没有虚假记载、误导性陈述或重大遗漏。</w:t>
      </w:r>
    </w:p>
    <w:p>
      <w:pPr>
        <w:autoSpaceDE w:val="0"/>
        <w:autoSpaceDN w:val="0"/>
        <w:adjustRightInd w:val="0"/>
        <w:spacing w:line="600" w:lineRule="auto"/>
        <w:jc w:val="left"/>
        <w:rPr>
          <w:rFonts w:hint="default" w:ascii="Times New Roman" w:hAnsi="Times New Roman" w:eastAsia="Times New Roman" w:cs="Times New Roman"/>
          <w:kern w:val="0"/>
          <w:sz w:val="24"/>
        </w:rPr>
      </w:pPr>
    </w:p>
    <w:p>
      <w:pPr>
        <w:autoSpaceDE w:val="0"/>
        <w:autoSpaceDN w:val="0"/>
        <w:adjustRightInd w:val="0"/>
        <w:spacing w:line="600" w:lineRule="auto"/>
        <w:jc w:val="left"/>
        <w:rPr>
          <w:rFonts w:hint="default" w:ascii="Times New Roman" w:hAnsi="Times New Roman" w:eastAsia="Times New Roman" w:cs="Times New Roman"/>
          <w:kern w:val="0"/>
          <w:sz w:val="24"/>
        </w:rPr>
      </w:pPr>
    </w:p>
    <w:p>
      <w:pPr>
        <w:pStyle w:val="9"/>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释义：</w:t>
      </w:r>
    </w:p>
    <w:p>
      <w:pPr>
        <w:pStyle w:val="9"/>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除非另有说明，以下简称在本公告中含义如下：</w:t>
      </w:r>
    </w:p>
    <w:p>
      <w:pPr>
        <w:pStyle w:val="9"/>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安泰科技、公司、本公司：安泰科技股份有限公司</w:t>
      </w:r>
    </w:p>
    <w:p>
      <w:pPr>
        <w:spacing w:line="360" w:lineRule="auto"/>
        <w:ind w:firstLine="480"/>
        <w:rPr>
          <w:rFonts w:hint="default" w:ascii="Times New Roman" w:hAnsi="Times New Roman" w:cs="Times New Roman"/>
          <w:sz w:val="24"/>
        </w:rPr>
      </w:pPr>
    </w:p>
    <w:p>
      <w:pPr>
        <w:spacing w:line="360" w:lineRule="auto"/>
        <w:ind w:firstLine="480"/>
        <w:rPr>
          <w:rFonts w:hint="default" w:ascii="Times New Roman" w:hAnsi="Times New Roman" w:cs="Times New Roman"/>
          <w:sz w:val="24"/>
        </w:rPr>
      </w:pPr>
      <w:r>
        <w:rPr>
          <w:rFonts w:hint="default" w:ascii="Times New Roman" w:hAnsi="Times New Roman" w:cs="Times New Roman"/>
          <w:sz w:val="24"/>
          <w:lang w:val="en-US" w:eastAsia="zh-CN"/>
        </w:rPr>
        <w:t>公司</w:t>
      </w:r>
      <w:r>
        <w:rPr>
          <w:rFonts w:hint="default" w:ascii="Times New Roman" w:hAnsi="Times New Roman" w:cs="Times New Roman"/>
          <w:sz w:val="24"/>
        </w:rPr>
        <w:t>第六届董事会第</w:t>
      </w:r>
      <w:r>
        <w:rPr>
          <w:rFonts w:hint="default" w:ascii="Times New Roman" w:hAnsi="Times New Roman" w:cs="Times New Roman"/>
          <w:sz w:val="24"/>
          <w:lang w:val="en-US" w:eastAsia="zh-CN"/>
        </w:rPr>
        <w:t>二十二</w:t>
      </w:r>
      <w:r>
        <w:rPr>
          <w:rFonts w:hint="default" w:ascii="Times New Roman" w:hAnsi="Times New Roman" w:cs="Times New Roman"/>
          <w:sz w:val="24"/>
        </w:rPr>
        <w:t>次会议审议通过了《安泰科技股份有限公司关于201</w:t>
      </w:r>
      <w:r>
        <w:rPr>
          <w:rFonts w:hint="default" w:ascii="Times New Roman" w:hAnsi="Times New Roman" w:cs="Times New Roman"/>
          <w:sz w:val="24"/>
          <w:lang w:val="en-US" w:eastAsia="zh-CN"/>
        </w:rPr>
        <w:t>6</w:t>
      </w:r>
      <w:r>
        <w:rPr>
          <w:rFonts w:hint="default" w:ascii="Times New Roman" w:hAnsi="Times New Roman" w:cs="Times New Roman"/>
          <w:sz w:val="24"/>
        </w:rPr>
        <w:t>年度计提资产减值准备的议案》。根据中国证监会《关于进一步提高上市公司财务信息披露质量的通知》、《深圳证券交易所股票上市规则》等关于资产减值准备有关事项的规定，本议案尚需提交公司股东大会审议</w:t>
      </w:r>
      <w:r>
        <w:rPr>
          <w:rFonts w:hint="default" w:ascii="Times New Roman" w:hAnsi="Times New Roman" w:cs="Times New Roman"/>
          <w:sz w:val="24"/>
          <w:lang w:eastAsia="zh-CN"/>
        </w:rPr>
        <w:t>，</w:t>
      </w:r>
      <w:r>
        <w:rPr>
          <w:rFonts w:hint="default" w:ascii="Times New Roman" w:hAnsi="Times New Roman" w:cs="Times New Roman"/>
          <w:sz w:val="24"/>
        </w:rPr>
        <w:t>现将资产计提有关情况公告如下：</w:t>
      </w:r>
    </w:p>
    <w:p>
      <w:pPr>
        <w:spacing w:line="360" w:lineRule="auto"/>
        <w:ind w:firstLine="480"/>
        <w:rPr>
          <w:rFonts w:hint="default" w:ascii="Times New Roman" w:hAnsi="Times New Roman" w:cs="Times New Roman"/>
          <w:sz w:val="24"/>
        </w:rPr>
      </w:pPr>
    </w:p>
    <w:p>
      <w:pPr>
        <w:spacing w:line="360" w:lineRule="auto"/>
        <w:ind w:firstLine="480"/>
        <w:rPr>
          <w:rFonts w:hint="default" w:ascii="Times New Roman" w:hAnsi="Times New Roman" w:cs="Times New Roman"/>
          <w:b/>
          <w:sz w:val="24"/>
        </w:rPr>
      </w:pPr>
      <w:r>
        <w:rPr>
          <w:rFonts w:hint="default" w:ascii="Times New Roman" w:hAnsi="Times New Roman" w:cs="Times New Roman"/>
          <w:b/>
          <w:sz w:val="24"/>
        </w:rPr>
        <w:t xml:space="preserve">一、计提资产减值准备情况概述 </w:t>
      </w:r>
    </w:p>
    <w:p>
      <w:pPr>
        <w:spacing w:line="360" w:lineRule="auto"/>
        <w:ind w:firstLine="480"/>
        <w:rPr>
          <w:rFonts w:hint="default" w:ascii="Times New Roman" w:hAnsi="Times New Roman" w:cs="Times New Roman"/>
          <w:b/>
          <w:sz w:val="24"/>
        </w:rPr>
      </w:pPr>
      <w:r>
        <w:rPr>
          <w:rFonts w:hint="default" w:ascii="Times New Roman" w:hAnsi="Times New Roman" w:cs="Times New Roman"/>
          <w:b/>
          <w:sz w:val="24"/>
        </w:rPr>
        <w:t xml:space="preserve">（一）计提资产减值准备的原因 </w:t>
      </w:r>
    </w:p>
    <w:p>
      <w:pPr>
        <w:spacing w:line="360" w:lineRule="auto"/>
        <w:ind w:firstLine="480"/>
        <w:rPr>
          <w:rFonts w:hint="default" w:ascii="Times New Roman" w:hAnsi="Times New Roman" w:cs="Times New Roman"/>
          <w:sz w:val="24"/>
          <w:highlight w:val="none"/>
          <w:lang w:eastAsia="zh-CN"/>
        </w:rPr>
      </w:pPr>
      <w:r>
        <w:rPr>
          <w:rFonts w:hint="default" w:ascii="Times New Roman" w:hAnsi="Times New Roman" w:cs="Times New Roman"/>
          <w:sz w:val="24"/>
          <w:highlight w:val="none"/>
        </w:rPr>
        <w:t>根据《企业会计准则》、《深圳证券交易所主板上市公司规范运作指引》相关规定的要求，且为了更加真实、准确地反映公司截止2016年12月31日的资产状况和财务状况，</w:t>
      </w:r>
      <w:r>
        <w:rPr>
          <w:rFonts w:hint="default" w:ascii="Times New Roman" w:hAnsi="Times New Roman" w:cs="Times New Roman"/>
          <w:sz w:val="24"/>
          <w:highlight w:val="none"/>
          <w:lang w:val="en-US" w:eastAsia="zh-CN"/>
        </w:rPr>
        <w:t>公司</w:t>
      </w:r>
      <w:r>
        <w:rPr>
          <w:rFonts w:hint="default" w:ascii="Times New Roman" w:hAnsi="Times New Roman" w:cs="Times New Roman"/>
          <w:sz w:val="24"/>
          <w:highlight w:val="none"/>
        </w:rPr>
        <w:t>对2016年度末存货、应收账款、固定资产、长期股权投资、可供出售金融资产、其他应收款、商誉等资产进行了全面清查，对各类资产进行了充分的评估和分析，认为上述部分资产存在一定的减值迹象。本着谨慎性原则，公司对存在减值迹象的资产进行了减值测试，根据测试结果对相关资产计提了减值准备。</w:t>
      </w:r>
    </w:p>
    <w:p>
      <w:pPr>
        <w:spacing w:line="360" w:lineRule="auto"/>
        <w:ind w:firstLine="480"/>
        <w:rPr>
          <w:rFonts w:hint="default" w:ascii="Times New Roman" w:hAnsi="Times New Roman" w:cs="Times New Roman"/>
          <w:b/>
          <w:sz w:val="24"/>
        </w:rPr>
      </w:pPr>
      <w:r>
        <w:rPr>
          <w:rFonts w:hint="default" w:ascii="Times New Roman" w:hAnsi="Times New Roman" w:cs="Times New Roman"/>
          <w:b/>
          <w:sz w:val="24"/>
        </w:rPr>
        <w:t>（二）本次计提资产减值准备的</w:t>
      </w:r>
      <w:r>
        <w:rPr>
          <w:rFonts w:hint="default" w:ascii="Times New Roman" w:hAnsi="Times New Roman" w:cs="Times New Roman"/>
          <w:b/>
          <w:sz w:val="24"/>
          <w:lang w:val="en-US" w:eastAsia="zh-CN"/>
        </w:rPr>
        <w:t>具体范围及金额</w:t>
      </w:r>
      <w:r>
        <w:rPr>
          <w:rFonts w:hint="default" w:ascii="Times New Roman" w:hAnsi="Times New Roman" w:cs="Times New Roman"/>
          <w:b/>
          <w:sz w:val="24"/>
        </w:rPr>
        <w:t xml:space="preserve"> </w:t>
      </w:r>
    </w:p>
    <w:tbl>
      <w:tblPr>
        <w:tblStyle w:val="7"/>
        <w:tblW w:w="9916" w:type="dxa"/>
        <w:jc w:val="center"/>
        <w:tblInd w:w="-942" w:type="dxa"/>
        <w:tblLayout w:type="fixed"/>
        <w:tblCellMar>
          <w:top w:w="0" w:type="dxa"/>
          <w:left w:w="108" w:type="dxa"/>
          <w:bottom w:w="0" w:type="dxa"/>
          <w:right w:w="108" w:type="dxa"/>
        </w:tblCellMar>
      </w:tblPr>
      <w:tblGrid>
        <w:gridCol w:w="1217"/>
        <w:gridCol w:w="1609"/>
        <w:gridCol w:w="1110"/>
        <w:gridCol w:w="1095"/>
        <w:gridCol w:w="952"/>
        <w:gridCol w:w="1133"/>
        <w:gridCol w:w="1133"/>
        <w:gridCol w:w="1667"/>
      </w:tblGrid>
      <w:tr>
        <w:tblPrEx>
          <w:tblLayout w:type="fixed"/>
          <w:tblCellMar>
            <w:top w:w="0" w:type="dxa"/>
            <w:left w:w="108" w:type="dxa"/>
            <w:bottom w:w="0" w:type="dxa"/>
            <w:right w:w="108" w:type="dxa"/>
          </w:tblCellMar>
        </w:tblPrEx>
        <w:trPr>
          <w:trHeight w:val="557" w:hRule="atLeast"/>
          <w:jc w:val="center"/>
        </w:trPr>
        <w:tc>
          <w:tcPr>
            <w:tcW w:w="121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eastAsiaTheme="minorEastAsia"/>
                <w:b/>
                <w:bCs/>
                <w:color w:val="000000"/>
                <w:kern w:val="0"/>
                <w:sz w:val="18"/>
                <w:szCs w:val="18"/>
              </w:rPr>
            </w:pPr>
            <w:bookmarkStart w:id="2" w:name="RANGE!A1:J10"/>
            <w:r>
              <w:rPr>
                <w:rFonts w:hint="default" w:ascii="Times New Roman" w:hAnsi="Times New Roman" w:cs="Times New Roman" w:eastAsiaTheme="minorEastAsia"/>
                <w:b/>
                <w:bCs/>
                <w:color w:val="000000"/>
                <w:kern w:val="0"/>
                <w:sz w:val="18"/>
                <w:szCs w:val="18"/>
              </w:rPr>
              <w:t>项目</w:t>
            </w:r>
            <w:bookmarkEnd w:id="2"/>
          </w:p>
        </w:tc>
        <w:tc>
          <w:tcPr>
            <w:tcW w:w="160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eastAsiaTheme="minorEastAsia"/>
                <w:b/>
                <w:bCs/>
                <w:color w:val="000000"/>
                <w:kern w:val="0"/>
                <w:sz w:val="18"/>
                <w:szCs w:val="18"/>
              </w:rPr>
            </w:pPr>
            <w:r>
              <w:rPr>
                <w:rFonts w:hint="default" w:ascii="Times New Roman" w:hAnsi="Times New Roman" w:cs="Times New Roman" w:eastAsiaTheme="minorEastAsia"/>
                <w:b/>
                <w:bCs/>
                <w:color w:val="000000"/>
                <w:kern w:val="0"/>
                <w:sz w:val="18"/>
                <w:szCs w:val="18"/>
              </w:rPr>
              <w:t>期初余额</w:t>
            </w:r>
          </w:p>
        </w:tc>
        <w:tc>
          <w:tcPr>
            <w:tcW w:w="4290" w:type="dxa"/>
            <w:gridSpan w:val="4"/>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cs="Times New Roman" w:eastAsiaTheme="minorEastAsia"/>
                <w:b/>
                <w:bCs/>
                <w:color w:val="000000"/>
                <w:kern w:val="0"/>
                <w:sz w:val="18"/>
                <w:szCs w:val="18"/>
              </w:rPr>
            </w:pPr>
            <w:r>
              <w:rPr>
                <w:rFonts w:hint="default" w:ascii="Times New Roman" w:hAnsi="Times New Roman" w:cs="Times New Roman" w:eastAsiaTheme="minorEastAsia"/>
                <w:b/>
                <w:bCs/>
                <w:color w:val="000000"/>
                <w:kern w:val="0"/>
                <w:sz w:val="18"/>
                <w:szCs w:val="18"/>
              </w:rPr>
              <w:t>本期增加</w:t>
            </w:r>
          </w:p>
        </w:tc>
        <w:tc>
          <w:tcPr>
            <w:tcW w:w="1133" w:type="dxa"/>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cs="Times New Roman" w:eastAsiaTheme="minorEastAsia"/>
                <w:b/>
                <w:bCs/>
                <w:color w:val="000000"/>
                <w:kern w:val="0"/>
                <w:sz w:val="18"/>
                <w:szCs w:val="18"/>
              </w:rPr>
            </w:pPr>
            <w:r>
              <w:rPr>
                <w:rFonts w:hint="default" w:ascii="Times New Roman" w:hAnsi="Times New Roman" w:cs="Times New Roman" w:eastAsiaTheme="minorEastAsia"/>
                <w:b/>
                <w:bCs/>
                <w:color w:val="000000"/>
                <w:kern w:val="0"/>
                <w:sz w:val="18"/>
                <w:szCs w:val="18"/>
              </w:rPr>
              <w:t>本期减少</w:t>
            </w:r>
          </w:p>
        </w:tc>
        <w:tc>
          <w:tcPr>
            <w:tcW w:w="166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eastAsiaTheme="minorEastAsia"/>
                <w:b/>
                <w:bCs/>
                <w:color w:val="000000"/>
                <w:kern w:val="0"/>
                <w:sz w:val="18"/>
                <w:szCs w:val="18"/>
              </w:rPr>
            </w:pPr>
            <w:r>
              <w:rPr>
                <w:rFonts w:hint="default" w:ascii="Times New Roman" w:hAnsi="Times New Roman" w:cs="Times New Roman" w:eastAsiaTheme="minorEastAsia"/>
                <w:b/>
                <w:bCs/>
                <w:color w:val="000000"/>
                <w:kern w:val="0"/>
                <w:sz w:val="18"/>
                <w:szCs w:val="18"/>
              </w:rPr>
              <w:t>期末余额</w:t>
            </w:r>
          </w:p>
        </w:tc>
      </w:tr>
      <w:tr>
        <w:tblPrEx>
          <w:tblLayout w:type="fixed"/>
          <w:tblCellMar>
            <w:top w:w="0" w:type="dxa"/>
            <w:left w:w="108" w:type="dxa"/>
            <w:bottom w:w="0" w:type="dxa"/>
            <w:right w:w="108" w:type="dxa"/>
          </w:tblCellMar>
        </w:tblPrEx>
        <w:trPr>
          <w:trHeight w:val="557" w:hRule="atLeast"/>
          <w:jc w:val="center"/>
        </w:trPr>
        <w:tc>
          <w:tcPr>
            <w:tcW w:w="12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eastAsiaTheme="minorEastAsia"/>
                <w:color w:val="000000"/>
                <w:kern w:val="0"/>
                <w:sz w:val="18"/>
                <w:szCs w:val="18"/>
              </w:rPr>
            </w:pPr>
          </w:p>
        </w:tc>
        <w:tc>
          <w:tcPr>
            <w:tcW w:w="16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eastAsiaTheme="minorEastAsia"/>
                <w:color w:val="000000"/>
                <w:kern w:val="0"/>
                <w:sz w:val="18"/>
                <w:szCs w:val="18"/>
              </w:rPr>
            </w:pPr>
          </w:p>
        </w:tc>
        <w:tc>
          <w:tcPr>
            <w:tcW w:w="1110"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eastAsiaTheme="minorEastAsia"/>
                <w:b/>
                <w:bCs/>
                <w:color w:val="000000"/>
                <w:kern w:val="0"/>
                <w:sz w:val="18"/>
                <w:szCs w:val="18"/>
              </w:rPr>
            </w:pPr>
            <w:r>
              <w:rPr>
                <w:rFonts w:hint="default" w:ascii="Times New Roman" w:hAnsi="Times New Roman" w:cs="Times New Roman" w:eastAsiaTheme="minorEastAsia"/>
                <w:b/>
                <w:bCs/>
                <w:color w:val="000000"/>
                <w:kern w:val="0"/>
                <w:sz w:val="18"/>
                <w:szCs w:val="18"/>
              </w:rPr>
              <w:t>本期计提</w:t>
            </w:r>
          </w:p>
        </w:tc>
        <w:tc>
          <w:tcPr>
            <w:tcW w:w="1095"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eastAsiaTheme="minorEastAsia"/>
                <w:b/>
                <w:bCs/>
                <w:color w:val="000000"/>
                <w:kern w:val="0"/>
                <w:sz w:val="18"/>
                <w:szCs w:val="18"/>
              </w:rPr>
            </w:pPr>
            <w:r>
              <w:rPr>
                <w:rFonts w:hint="default" w:ascii="Times New Roman" w:hAnsi="Times New Roman" w:cs="Times New Roman" w:eastAsiaTheme="minorEastAsia"/>
                <w:b/>
                <w:bCs/>
                <w:color w:val="000000"/>
                <w:kern w:val="0"/>
                <w:sz w:val="18"/>
                <w:szCs w:val="18"/>
              </w:rPr>
              <w:t>合并增加</w:t>
            </w:r>
          </w:p>
        </w:tc>
        <w:tc>
          <w:tcPr>
            <w:tcW w:w="952"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eastAsiaTheme="minorEastAsia"/>
                <w:b/>
                <w:bCs/>
                <w:color w:val="000000"/>
                <w:kern w:val="0"/>
                <w:sz w:val="18"/>
                <w:szCs w:val="18"/>
              </w:rPr>
            </w:pPr>
            <w:r>
              <w:rPr>
                <w:rFonts w:hint="default" w:ascii="Times New Roman" w:hAnsi="Times New Roman" w:cs="Times New Roman" w:eastAsiaTheme="minorEastAsia"/>
                <w:b/>
                <w:bCs/>
                <w:color w:val="000000"/>
                <w:kern w:val="0"/>
                <w:sz w:val="18"/>
                <w:szCs w:val="18"/>
              </w:rPr>
              <w:t>其他原因增加</w:t>
            </w:r>
          </w:p>
        </w:tc>
        <w:tc>
          <w:tcPr>
            <w:tcW w:w="1133"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eastAsiaTheme="minorEastAsia"/>
                <w:b/>
                <w:bCs/>
                <w:color w:val="000000"/>
                <w:kern w:val="0"/>
                <w:sz w:val="18"/>
                <w:szCs w:val="18"/>
              </w:rPr>
            </w:pPr>
            <w:r>
              <w:rPr>
                <w:rFonts w:hint="default" w:ascii="Times New Roman" w:hAnsi="Times New Roman" w:cs="Times New Roman" w:eastAsiaTheme="minorEastAsia"/>
                <w:b/>
                <w:bCs/>
                <w:color w:val="000000"/>
                <w:kern w:val="0"/>
                <w:sz w:val="18"/>
                <w:szCs w:val="18"/>
              </w:rPr>
              <w:t>合计</w:t>
            </w:r>
          </w:p>
        </w:tc>
        <w:tc>
          <w:tcPr>
            <w:tcW w:w="1133"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eastAsiaTheme="minorEastAsia"/>
                <w:b/>
                <w:bCs/>
                <w:color w:val="000000"/>
                <w:kern w:val="0"/>
                <w:sz w:val="18"/>
                <w:szCs w:val="18"/>
              </w:rPr>
            </w:pPr>
            <w:r>
              <w:rPr>
                <w:rFonts w:hint="default" w:ascii="Times New Roman" w:hAnsi="Times New Roman" w:cs="Times New Roman" w:eastAsiaTheme="minorEastAsia"/>
                <w:b/>
                <w:bCs/>
                <w:color w:val="000000"/>
                <w:kern w:val="0"/>
                <w:sz w:val="18"/>
                <w:szCs w:val="18"/>
              </w:rPr>
              <w:t>转销</w:t>
            </w:r>
          </w:p>
        </w:tc>
        <w:tc>
          <w:tcPr>
            <w:tcW w:w="16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eastAsiaTheme="minorEastAsia"/>
                <w:color w:val="000000"/>
                <w:kern w:val="0"/>
                <w:sz w:val="18"/>
                <w:szCs w:val="18"/>
              </w:rPr>
            </w:pPr>
          </w:p>
        </w:tc>
      </w:tr>
      <w:tr>
        <w:tblPrEx>
          <w:tblLayout w:type="fixed"/>
          <w:tblCellMar>
            <w:top w:w="0" w:type="dxa"/>
            <w:left w:w="108" w:type="dxa"/>
            <w:bottom w:w="0" w:type="dxa"/>
            <w:right w:w="108" w:type="dxa"/>
          </w:tblCellMar>
        </w:tblPrEx>
        <w:trPr>
          <w:trHeight w:val="557" w:hRule="atLeast"/>
          <w:jc w:val="center"/>
        </w:trPr>
        <w:tc>
          <w:tcPr>
            <w:tcW w:w="1217" w:type="dxa"/>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eastAsiaTheme="minorEastAsia"/>
                <w:b/>
                <w:bCs/>
                <w:color w:val="000000"/>
                <w:kern w:val="0"/>
                <w:sz w:val="18"/>
                <w:szCs w:val="18"/>
              </w:rPr>
            </w:pPr>
            <w:r>
              <w:rPr>
                <w:rFonts w:hint="default" w:ascii="Times New Roman" w:hAnsi="Times New Roman" w:cs="Times New Roman" w:eastAsiaTheme="minorEastAsia"/>
                <w:b/>
                <w:bCs/>
                <w:color w:val="000000"/>
                <w:kern w:val="0"/>
                <w:sz w:val="18"/>
                <w:szCs w:val="18"/>
              </w:rPr>
              <w:t>一、坏账损失</w:t>
            </w:r>
          </w:p>
        </w:tc>
        <w:tc>
          <w:tcPr>
            <w:tcW w:w="1609"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168,487,004.37</w:t>
            </w:r>
          </w:p>
        </w:tc>
        <w:tc>
          <w:tcPr>
            <w:tcW w:w="111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13</w:t>
            </w:r>
            <w:r>
              <w:rPr>
                <w:rFonts w:hint="default" w:ascii="Times New Roman" w:hAnsi="Times New Roman" w:cs="Times New Roman" w:eastAsiaTheme="minorEastAsia"/>
                <w:color w:val="000000"/>
                <w:kern w:val="0"/>
                <w:sz w:val="18"/>
                <w:szCs w:val="18"/>
                <w:lang w:val="en-US" w:eastAsia="zh-CN"/>
              </w:rPr>
              <w:t>,</w:t>
            </w:r>
            <w:r>
              <w:rPr>
                <w:rFonts w:hint="default" w:ascii="Times New Roman" w:hAnsi="Times New Roman" w:cs="Times New Roman" w:eastAsiaTheme="minorEastAsia"/>
                <w:color w:val="000000"/>
                <w:kern w:val="0"/>
                <w:sz w:val="18"/>
                <w:szCs w:val="18"/>
              </w:rPr>
              <w:t>264</w:t>
            </w:r>
            <w:r>
              <w:rPr>
                <w:rFonts w:hint="default" w:ascii="Times New Roman" w:hAnsi="Times New Roman" w:cs="Times New Roman" w:eastAsiaTheme="minorEastAsia"/>
                <w:color w:val="000000"/>
                <w:kern w:val="0"/>
                <w:sz w:val="18"/>
                <w:szCs w:val="18"/>
                <w:lang w:val="en-US" w:eastAsia="zh-CN"/>
              </w:rPr>
              <w:t>,</w:t>
            </w:r>
            <w:r>
              <w:rPr>
                <w:rFonts w:hint="default" w:ascii="Times New Roman" w:hAnsi="Times New Roman" w:cs="Times New Roman" w:eastAsiaTheme="minorEastAsia"/>
                <w:color w:val="000000"/>
                <w:kern w:val="0"/>
                <w:sz w:val="18"/>
                <w:szCs w:val="18"/>
              </w:rPr>
              <w:t>443.62</w:t>
            </w:r>
          </w:p>
        </w:tc>
        <w:tc>
          <w:tcPr>
            <w:tcW w:w="1095"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9</w:t>
            </w:r>
            <w:r>
              <w:rPr>
                <w:rFonts w:hint="default" w:ascii="Times New Roman" w:hAnsi="Times New Roman" w:cs="Times New Roman" w:eastAsiaTheme="minorEastAsia"/>
                <w:color w:val="000000"/>
                <w:kern w:val="0"/>
                <w:sz w:val="18"/>
                <w:szCs w:val="18"/>
                <w:lang w:val="en-US" w:eastAsia="zh-CN"/>
              </w:rPr>
              <w:t>,</w:t>
            </w:r>
            <w:r>
              <w:rPr>
                <w:rFonts w:hint="default" w:ascii="Times New Roman" w:hAnsi="Times New Roman" w:cs="Times New Roman" w:eastAsiaTheme="minorEastAsia"/>
                <w:color w:val="000000"/>
                <w:kern w:val="0"/>
                <w:sz w:val="18"/>
                <w:szCs w:val="18"/>
              </w:rPr>
              <w:t>213</w:t>
            </w:r>
            <w:r>
              <w:rPr>
                <w:rFonts w:hint="default" w:ascii="Times New Roman" w:hAnsi="Times New Roman" w:cs="Times New Roman" w:eastAsiaTheme="minorEastAsia"/>
                <w:color w:val="000000"/>
                <w:kern w:val="0"/>
                <w:sz w:val="18"/>
                <w:szCs w:val="18"/>
                <w:lang w:val="en-US" w:eastAsia="zh-CN"/>
              </w:rPr>
              <w:t>,</w:t>
            </w:r>
            <w:r>
              <w:rPr>
                <w:rFonts w:hint="default" w:ascii="Times New Roman" w:hAnsi="Times New Roman" w:cs="Times New Roman" w:eastAsiaTheme="minorEastAsia"/>
                <w:color w:val="000000"/>
                <w:kern w:val="0"/>
                <w:sz w:val="18"/>
                <w:szCs w:val="18"/>
              </w:rPr>
              <w:t>352.76</w:t>
            </w:r>
          </w:p>
        </w:tc>
        <w:tc>
          <w:tcPr>
            <w:tcW w:w="952"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-224</w:t>
            </w:r>
            <w:r>
              <w:rPr>
                <w:rFonts w:hint="default" w:ascii="Times New Roman" w:hAnsi="Times New Roman" w:cs="Times New Roman" w:eastAsiaTheme="minorEastAsia"/>
                <w:color w:val="000000"/>
                <w:kern w:val="0"/>
                <w:sz w:val="18"/>
                <w:szCs w:val="18"/>
                <w:lang w:val="en-US" w:eastAsia="zh-CN"/>
              </w:rPr>
              <w:t>,</w:t>
            </w:r>
            <w:r>
              <w:rPr>
                <w:rFonts w:hint="default" w:ascii="Times New Roman" w:hAnsi="Times New Roman" w:cs="Times New Roman" w:eastAsiaTheme="minorEastAsia"/>
                <w:color w:val="000000"/>
                <w:kern w:val="0"/>
                <w:sz w:val="18"/>
                <w:szCs w:val="18"/>
              </w:rPr>
              <w:t>619.93</w:t>
            </w:r>
          </w:p>
        </w:tc>
        <w:tc>
          <w:tcPr>
            <w:tcW w:w="1133"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22</w:t>
            </w:r>
            <w:r>
              <w:rPr>
                <w:rFonts w:hint="default" w:ascii="Times New Roman" w:hAnsi="Times New Roman" w:cs="Times New Roman" w:eastAsiaTheme="minorEastAsia"/>
                <w:color w:val="000000"/>
                <w:kern w:val="0"/>
                <w:sz w:val="18"/>
                <w:szCs w:val="18"/>
                <w:lang w:val="en-US" w:eastAsia="zh-CN"/>
              </w:rPr>
              <w:t>,</w:t>
            </w:r>
            <w:r>
              <w:rPr>
                <w:rFonts w:hint="default" w:ascii="Times New Roman" w:hAnsi="Times New Roman" w:cs="Times New Roman" w:eastAsiaTheme="minorEastAsia"/>
                <w:color w:val="000000"/>
                <w:kern w:val="0"/>
                <w:sz w:val="18"/>
                <w:szCs w:val="18"/>
              </w:rPr>
              <w:t>253</w:t>
            </w:r>
            <w:r>
              <w:rPr>
                <w:rFonts w:hint="default" w:ascii="Times New Roman" w:hAnsi="Times New Roman" w:cs="Times New Roman" w:eastAsiaTheme="minorEastAsia"/>
                <w:color w:val="000000"/>
                <w:kern w:val="0"/>
                <w:sz w:val="18"/>
                <w:szCs w:val="18"/>
                <w:lang w:val="en-US" w:eastAsia="zh-CN"/>
              </w:rPr>
              <w:t>,</w:t>
            </w:r>
            <w:r>
              <w:rPr>
                <w:rFonts w:hint="default" w:ascii="Times New Roman" w:hAnsi="Times New Roman" w:cs="Times New Roman" w:eastAsiaTheme="minorEastAsia"/>
                <w:color w:val="000000"/>
                <w:kern w:val="0"/>
                <w:sz w:val="18"/>
                <w:szCs w:val="18"/>
              </w:rPr>
              <w:t>176.45</w:t>
            </w:r>
          </w:p>
        </w:tc>
        <w:tc>
          <w:tcPr>
            <w:tcW w:w="1133"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　</w:t>
            </w:r>
          </w:p>
        </w:tc>
        <w:tc>
          <w:tcPr>
            <w:tcW w:w="1667"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190</w:t>
            </w:r>
            <w:r>
              <w:rPr>
                <w:rFonts w:hint="default" w:ascii="Times New Roman" w:hAnsi="Times New Roman" w:cs="Times New Roman" w:eastAsiaTheme="minorEastAsia"/>
                <w:color w:val="000000"/>
                <w:kern w:val="0"/>
                <w:sz w:val="18"/>
                <w:szCs w:val="18"/>
                <w:lang w:val="en-US" w:eastAsia="zh-CN"/>
              </w:rPr>
              <w:t>,</w:t>
            </w:r>
            <w:r>
              <w:rPr>
                <w:rFonts w:hint="default" w:ascii="Times New Roman" w:hAnsi="Times New Roman" w:cs="Times New Roman" w:eastAsiaTheme="minorEastAsia"/>
                <w:color w:val="000000"/>
                <w:kern w:val="0"/>
                <w:sz w:val="18"/>
                <w:szCs w:val="18"/>
              </w:rPr>
              <w:t>740</w:t>
            </w:r>
            <w:r>
              <w:rPr>
                <w:rFonts w:hint="default" w:ascii="Times New Roman" w:hAnsi="Times New Roman" w:cs="Times New Roman" w:eastAsiaTheme="minorEastAsia"/>
                <w:color w:val="000000"/>
                <w:kern w:val="0"/>
                <w:sz w:val="18"/>
                <w:szCs w:val="18"/>
                <w:lang w:val="en-US" w:eastAsia="zh-CN"/>
              </w:rPr>
              <w:t>,</w:t>
            </w:r>
            <w:r>
              <w:rPr>
                <w:rFonts w:hint="default" w:ascii="Times New Roman" w:hAnsi="Times New Roman" w:cs="Times New Roman" w:eastAsiaTheme="minorEastAsia"/>
                <w:color w:val="000000"/>
                <w:kern w:val="0"/>
                <w:sz w:val="18"/>
                <w:szCs w:val="18"/>
              </w:rPr>
              <w:t>180.82</w:t>
            </w:r>
          </w:p>
        </w:tc>
      </w:tr>
      <w:tr>
        <w:tblPrEx>
          <w:tblLayout w:type="fixed"/>
          <w:tblCellMar>
            <w:top w:w="0" w:type="dxa"/>
            <w:left w:w="108" w:type="dxa"/>
            <w:bottom w:w="0" w:type="dxa"/>
            <w:right w:w="108" w:type="dxa"/>
          </w:tblCellMar>
        </w:tblPrEx>
        <w:trPr>
          <w:trHeight w:val="557" w:hRule="atLeast"/>
          <w:jc w:val="center"/>
        </w:trPr>
        <w:tc>
          <w:tcPr>
            <w:tcW w:w="1217" w:type="dxa"/>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eastAsiaTheme="minorEastAsia"/>
                <w:b/>
                <w:bCs/>
                <w:color w:val="000000"/>
                <w:kern w:val="0"/>
                <w:sz w:val="18"/>
                <w:szCs w:val="18"/>
              </w:rPr>
            </w:pPr>
            <w:r>
              <w:rPr>
                <w:rFonts w:hint="default" w:ascii="Times New Roman" w:hAnsi="Times New Roman" w:cs="Times New Roman" w:eastAsiaTheme="minorEastAsia"/>
                <w:b/>
                <w:bCs/>
                <w:color w:val="000000"/>
                <w:kern w:val="0"/>
                <w:sz w:val="18"/>
                <w:szCs w:val="18"/>
              </w:rPr>
              <w:t>二、存货跌价损失</w:t>
            </w:r>
          </w:p>
        </w:tc>
        <w:tc>
          <w:tcPr>
            <w:tcW w:w="1609"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48,832,134.32</w:t>
            </w:r>
          </w:p>
        </w:tc>
        <w:tc>
          <w:tcPr>
            <w:tcW w:w="111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25</w:t>
            </w:r>
            <w:r>
              <w:rPr>
                <w:rFonts w:hint="default" w:ascii="Times New Roman" w:hAnsi="Times New Roman" w:cs="Times New Roman" w:eastAsiaTheme="minorEastAsia"/>
                <w:color w:val="000000"/>
                <w:kern w:val="0"/>
                <w:sz w:val="18"/>
                <w:szCs w:val="18"/>
                <w:lang w:val="en-US" w:eastAsia="zh-CN"/>
              </w:rPr>
              <w:t>,</w:t>
            </w:r>
            <w:r>
              <w:rPr>
                <w:rFonts w:hint="default" w:ascii="Times New Roman" w:hAnsi="Times New Roman" w:cs="Times New Roman" w:eastAsiaTheme="minorEastAsia"/>
                <w:color w:val="000000"/>
                <w:kern w:val="0"/>
                <w:sz w:val="18"/>
                <w:szCs w:val="18"/>
              </w:rPr>
              <w:t>572</w:t>
            </w:r>
            <w:r>
              <w:rPr>
                <w:rFonts w:hint="default" w:ascii="Times New Roman" w:hAnsi="Times New Roman" w:cs="Times New Roman" w:eastAsiaTheme="minorEastAsia"/>
                <w:color w:val="000000"/>
                <w:kern w:val="0"/>
                <w:sz w:val="18"/>
                <w:szCs w:val="18"/>
                <w:lang w:val="en-US" w:eastAsia="zh-CN"/>
              </w:rPr>
              <w:t>,</w:t>
            </w:r>
            <w:r>
              <w:rPr>
                <w:rFonts w:hint="default" w:ascii="Times New Roman" w:hAnsi="Times New Roman" w:cs="Times New Roman" w:eastAsiaTheme="minorEastAsia"/>
                <w:color w:val="000000"/>
                <w:kern w:val="0"/>
                <w:sz w:val="18"/>
                <w:szCs w:val="18"/>
              </w:rPr>
              <w:t>676.98</w:t>
            </w:r>
          </w:p>
        </w:tc>
        <w:tc>
          <w:tcPr>
            <w:tcW w:w="1095"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　</w:t>
            </w:r>
          </w:p>
        </w:tc>
        <w:tc>
          <w:tcPr>
            <w:tcW w:w="952"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　</w:t>
            </w:r>
          </w:p>
        </w:tc>
        <w:tc>
          <w:tcPr>
            <w:tcW w:w="1133"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25</w:t>
            </w:r>
            <w:r>
              <w:rPr>
                <w:rFonts w:hint="default" w:ascii="Times New Roman" w:hAnsi="Times New Roman" w:cs="Times New Roman" w:eastAsiaTheme="minorEastAsia"/>
                <w:color w:val="000000"/>
                <w:kern w:val="0"/>
                <w:sz w:val="18"/>
                <w:szCs w:val="18"/>
                <w:lang w:val="en-US" w:eastAsia="zh-CN"/>
              </w:rPr>
              <w:t>,</w:t>
            </w:r>
            <w:r>
              <w:rPr>
                <w:rFonts w:hint="default" w:ascii="Times New Roman" w:hAnsi="Times New Roman" w:cs="Times New Roman" w:eastAsiaTheme="minorEastAsia"/>
                <w:color w:val="000000"/>
                <w:kern w:val="0"/>
                <w:sz w:val="18"/>
                <w:szCs w:val="18"/>
              </w:rPr>
              <w:t>572</w:t>
            </w:r>
            <w:r>
              <w:rPr>
                <w:rFonts w:hint="default" w:ascii="Times New Roman" w:hAnsi="Times New Roman" w:cs="Times New Roman" w:eastAsiaTheme="minorEastAsia"/>
                <w:color w:val="000000"/>
                <w:kern w:val="0"/>
                <w:sz w:val="18"/>
                <w:szCs w:val="18"/>
                <w:lang w:val="en-US" w:eastAsia="zh-CN"/>
              </w:rPr>
              <w:t>,</w:t>
            </w:r>
            <w:r>
              <w:rPr>
                <w:rFonts w:hint="default" w:ascii="Times New Roman" w:hAnsi="Times New Roman" w:cs="Times New Roman" w:eastAsiaTheme="minorEastAsia"/>
                <w:color w:val="000000"/>
                <w:kern w:val="0"/>
                <w:sz w:val="18"/>
                <w:szCs w:val="18"/>
              </w:rPr>
              <w:t>676.98</w:t>
            </w:r>
          </w:p>
        </w:tc>
        <w:tc>
          <w:tcPr>
            <w:tcW w:w="1133"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13</w:t>
            </w:r>
            <w:r>
              <w:rPr>
                <w:rFonts w:hint="eastAsia" w:cs="Times New Roman" w:eastAsiaTheme="minorEastAsia"/>
                <w:color w:val="000000"/>
                <w:kern w:val="0"/>
                <w:sz w:val="18"/>
                <w:szCs w:val="18"/>
                <w:lang w:val="en-US" w:eastAsia="zh-CN"/>
              </w:rPr>
              <w:t>,</w:t>
            </w:r>
            <w:r>
              <w:rPr>
                <w:rFonts w:hint="default" w:ascii="Times New Roman" w:hAnsi="Times New Roman" w:cs="Times New Roman" w:eastAsiaTheme="minorEastAsia"/>
                <w:color w:val="000000"/>
                <w:kern w:val="0"/>
                <w:sz w:val="18"/>
                <w:szCs w:val="18"/>
              </w:rPr>
              <w:t>545</w:t>
            </w:r>
            <w:r>
              <w:rPr>
                <w:rFonts w:hint="eastAsia" w:cs="Times New Roman" w:eastAsiaTheme="minorEastAsia"/>
                <w:color w:val="000000"/>
                <w:kern w:val="0"/>
                <w:sz w:val="18"/>
                <w:szCs w:val="18"/>
                <w:lang w:val="en-US" w:eastAsia="zh-CN"/>
              </w:rPr>
              <w:t>,</w:t>
            </w:r>
            <w:r>
              <w:rPr>
                <w:rFonts w:hint="default" w:ascii="Times New Roman" w:hAnsi="Times New Roman" w:cs="Times New Roman" w:eastAsiaTheme="minorEastAsia"/>
                <w:color w:val="000000"/>
                <w:kern w:val="0"/>
                <w:sz w:val="18"/>
                <w:szCs w:val="18"/>
              </w:rPr>
              <w:t>892.8</w:t>
            </w:r>
          </w:p>
        </w:tc>
        <w:tc>
          <w:tcPr>
            <w:tcW w:w="1667"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60</w:t>
            </w:r>
            <w:r>
              <w:rPr>
                <w:rFonts w:hint="default" w:ascii="Times New Roman" w:hAnsi="Times New Roman" w:cs="Times New Roman" w:eastAsiaTheme="minorEastAsia"/>
                <w:color w:val="000000"/>
                <w:kern w:val="0"/>
                <w:sz w:val="18"/>
                <w:szCs w:val="18"/>
                <w:lang w:val="en-US" w:eastAsia="zh-CN"/>
              </w:rPr>
              <w:t>,</w:t>
            </w:r>
            <w:r>
              <w:rPr>
                <w:rFonts w:hint="default" w:ascii="Times New Roman" w:hAnsi="Times New Roman" w:cs="Times New Roman" w:eastAsiaTheme="minorEastAsia"/>
                <w:color w:val="000000"/>
                <w:kern w:val="0"/>
                <w:sz w:val="18"/>
                <w:szCs w:val="18"/>
              </w:rPr>
              <w:t>858</w:t>
            </w:r>
            <w:r>
              <w:rPr>
                <w:rFonts w:hint="default" w:ascii="Times New Roman" w:hAnsi="Times New Roman" w:cs="Times New Roman" w:eastAsiaTheme="minorEastAsia"/>
                <w:color w:val="000000"/>
                <w:kern w:val="0"/>
                <w:sz w:val="18"/>
                <w:szCs w:val="18"/>
                <w:lang w:val="en-US" w:eastAsia="zh-CN"/>
              </w:rPr>
              <w:t>,</w:t>
            </w:r>
            <w:r>
              <w:rPr>
                <w:rFonts w:hint="default" w:ascii="Times New Roman" w:hAnsi="Times New Roman" w:cs="Times New Roman" w:eastAsiaTheme="minorEastAsia"/>
                <w:color w:val="000000"/>
                <w:kern w:val="0"/>
                <w:sz w:val="18"/>
                <w:szCs w:val="18"/>
              </w:rPr>
              <w:t>918.5</w:t>
            </w:r>
          </w:p>
        </w:tc>
      </w:tr>
      <w:tr>
        <w:tblPrEx>
          <w:tblLayout w:type="fixed"/>
          <w:tblCellMar>
            <w:top w:w="0" w:type="dxa"/>
            <w:left w:w="108" w:type="dxa"/>
            <w:bottom w:w="0" w:type="dxa"/>
            <w:right w:w="108" w:type="dxa"/>
          </w:tblCellMar>
        </w:tblPrEx>
        <w:trPr>
          <w:trHeight w:val="557" w:hRule="atLeast"/>
          <w:jc w:val="center"/>
        </w:trPr>
        <w:tc>
          <w:tcPr>
            <w:tcW w:w="1217" w:type="dxa"/>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eastAsiaTheme="minorEastAsia"/>
                <w:b/>
                <w:bCs/>
                <w:color w:val="000000"/>
                <w:kern w:val="0"/>
                <w:sz w:val="18"/>
                <w:szCs w:val="18"/>
              </w:rPr>
            </w:pPr>
            <w:r>
              <w:rPr>
                <w:rFonts w:hint="default" w:ascii="Times New Roman" w:hAnsi="Times New Roman" w:cs="Times New Roman" w:eastAsiaTheme="minorEastAsia"/>
                <w:b/>
                <w:bCs/>
                <w:color w:val="000000"/>
                <w:kern w:val="0"/>
                <w:sz w:val="18"/>
                <w:szCs w:val="18"/>
              </w:rPr>
              <w:t>三、可供出售金融资产减值损失</w:t>
            </w:r>
          </w:p>
        </w:tc>
        <w:tc>
          <w:tcPr>
            <w:tcW w:w="1609"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57,420,637.41</w:t>
            </w:r>
          </w:p>
        </w:tc>
        <w:tc>
          <w:tcPr>
            <w:tcW w:w="111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　</w:t>
            </w:r>
          </w:p>
        </w:tc>
        <w:tc>
          <w:tcPr>
            <w:tcW w:w="1095"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　</w:t>
            </w:r>
          </w:p>
        </w:tc>
        <w:tc>
          <w:tcPr>
            <w:tcW w:w="952"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　</w:t>
            </w:r>
          </w:p>
        </w:tc>
        <w:tc>
          <w:tcPr>
            <w:tcW w:w="1133"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　</w:t>
            </w:r>
          </w:p>
        </w:tc>
        <w:tc>
          <w:tcPr>
            <w:tcW w:w="1133"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　</w:t>
            </w:r>
          </w:p>
        </w:tc>
        <w:tc>
          <w:tcPr>
            <w:tcW w:w="1667"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57,420,637.41</w:t>
            </w:r>
          </w:p>
        </w:tc>
      </w:tr>
      <w:tr>
        <w:tblPrEx>
          <w:tblLayout w:type="fixed"/>
          <w:tblCellMar>
            <w:top w:w="0" w:type="dxa"/>
            <w:left w:w="108" w:type="dxa"/>
            <w:bottom w:w="0" w:type="dxa"/>
            <w:right w:w="108" w:type="dxa"/>
          </w:tblCellMar>
        </w:tblPrEx>
        <w:trPr>
          <w:trHeight w:val="557" w:hRule="atLeast"/>
          <w:jc w:val="center"/>
        </w:trPr>
        <w:tc>
          <w:tcPr>
            <w:tcW w:w="1217" w:type="dxa"/>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eastAsiaTheme="minorEastAsia"/>
                <w:b/>
                <w:bCs/>
                <w:color w:val="000000"/>
                <w:kern w:val="0"/>
                <w:sz w:val="18"/>
                <w:szCs w:val="18"/>
              </w:rPr>
            </w:pPr>
            <w:r>
              <w:rPr>
                <w:rFonts w:hint="default" w:ascii="Times New Roman" w:hAnsi="Times New Roman" w:cs="Times New Roman" w:eastAsiaTheme="minorEastAsia"/>
                <w:b/>
                <w:bCs/>
                <w:color w:val="000000"/>
                <w:kern w:val="0"/>
                <w:sz w:val="18"/>
                <w:szCs w:val="18"/>
              </w:rPr>
              <w:t>四、长期股权投资减值损失</w:t>
            </w:r>
          </w:p>
        </w:tc>
        <w:tc>
          <w:tcPr>
            <w:tcW w:w="1609"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16,197,181.85</w:t>
            </w:r>
          </w:p>
        </w:tc>
        <w:tc>
          <w:tcPr>
            <w:tcW w:w="111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　</w:t>
            </w:r>
          </w:p>
        </w:tc>
        <w:tc>
          <w:tcPr>
            <w:tcW w:w="1095"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　</w:t>
            </w:r>
          </w:p>
        </w:tc>
        <w:tc>
          <w:tcPr>
            <w:tcW w:w="952"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　</w:t>
            </w:r>
          </w:p>
        </w:tc>
        <w:tc>
          <w:tcPr>
            <w:tcW w:w="1133"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　</w:t>
            </w:r>
          </w:p>
        </w:tc>
        <w:tc>
          <w:tcPr>
            <w:tcW w:w="1133"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　</w:t>
            </w:r>
          </w:p>
        </w:tc>
        <w:tc>
          <w:tcPr>
            <w:tcW w:w="1667"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16,197,181.85</w:t>
            </w:r>
          </w:p>
        </w:tc>
      </w:tr>
      <w:tr>
        <w:tblPrEx>
          <w:tblLayout w:type="fixed"/>
          <w:tblCellMar>
            <w:top w:w="0" w:type="dxa"/>
            <w:left w:w="108" w:type="dxa"/>
            <w:bottom w:w="0" w:type="dxa"/>
            <w:right w:w="108" w:type="dxa"/>
          </w:tblCellMar>
        </w:tblPrEx>
        <w:trPr>
          <w:trHeight w:val="557" w:hRule="atLeast"/>
          <w:jc w:val="center"/>
        </w:trPr>
        <w:tc>
          <w:tcPr>
            <w:tcW w:w="1217" w:type="dxa"/>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eastAsiaTheme="minorEastAsia"/>
                <w:b/>
                <w:bCs/>
                <w:color w:val="000000"/>
                <w:kern w:val="0"/>
                <w:sz w:val="18"/>
                <w:szCs w:val="18"/>
              </w:rPr>
            </w:pPr>
            <w:r>
              <w:rPr>
                <w:rFonts w:hint="default" w:ascii="Times New Roman" w:hAnsi="Times New Roman" w:cs="Times New Roman" w:eastAsiaTheme="minorEastAsia"/>
                <w:b/>
                <w:bCs/>
                <w:color w:val="000000"/>
                <w:kern w:val="0"/>
                <w:sz w:val="18"/>
                <w:szCs w:val="18"/>
              </w:rPr>
              <w:t>五、固定资产减值损失</w:t>
            </w:r>
          </w:p>
        </w:tc>
        <w:tc>
          <w:tcPr>
            <w:tcW w:w="1609"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7,959,623.56</w:t>
            </w:r>
          </w:p>
        </w:tc>
        <w:tc>
          <w:tcPr>
            <w:tcW w:w="111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15,051,419.51</w:t>
            </w:r>
          </w:p>
        </w:tc>
        <w:tc>
          <w:tcPr>
            <w:tcW w:w="1095"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　</w:t>
            </w:r>
          </w:p>
        </w:tc>
        <w:tc>
          <w:tcPr>
            <w:tcW w:w="952"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　</w:t>
            </w:r>
          </w:p>
        </w:tc>
        <w:tc>
          <w:tcPr>
            <w:tcW w:w="1133"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15,051,419.51</w:t>
            </w:r>
          </w:p>
        </w:tc>
        <w:tc>
          <w:tcPr>
            <w:tcW w:w="1133"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1,101,089.00</w:t>
            </w:r>
          </w:p>
        </w:tc>
        <w:tc>
          <w:tcPr>
            <w:tcW w:w="1667"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21,909,954.07</w:t>
            </w:r>
          </w:p>
        </w:tc>
      </w:tr>
      <w:tr>
        <w:tblPrEx>
          <w:tblLayout w:type="fixed"/>
          <w:tblCellMar>
            <w:top w:w="0" w:type="dxa"/>
            <w:left w:w="108" w:type="dxa"/>
            <w:bottom w:w="0" w:type="dxa"/>
            <w:right w:w="108" w:type="dxa"/>
          </w:tblCellMar>
        </w:tblPrEx>
        <w:trPr>
          <w:trHeight w:val="557" w:hRule="atLeast"/>
          <w:jc w:val="center"/>
        </w:trPr>
        <w:tc>
          <w:tcPr>
            <w:tcW w:w="1217" w:type="dxa"/>
            <w:tcBorders>
              <w:top w:val="nil"/>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eastAsiaTheme="minorEastAsia"/>
                <w:b/>
                <w:bCs/>
                <w:color w:val="000000"/>
                <w:kern w:val="0"/>
                <w:sz w:val="18"/>
                <w:szCs w:val="18"/>
              </w:rPr>
            </w:pPr>
            <w:r>
              <w:rPr>
                <w:rFonts w:hint="default" w:ascii="Times New Roman" w:hAnsi="Times New Roman" w:cs="Times New Roman" w:eastAsiaTheme="minorEastAsia"/>
                <w:b/>
                <w:bCs/>
                <w:color w:val="000000"/>
                <w:kern w:val="0"/>
                <w:sz w:val="18"/>
                <w:szCs w:val="18"/>
              </w:rPr>
              <w:t>合计</w:t>
            </w:r>
          </w:p>
        </w:tc>
        <w:tc>
          <w:tcPr>
            <w:tcW w:w="1609"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eastAsiaTheme="minorEastAsia"/>
                <w:color w:val="000000"/>
                <w:kern w:val="0"/>
                <w:sz w:val="18"/>
                <w:szCs w:val="18"/>
              </w:rPr>
            </w:pPr>
            <w:bookmarkStart w:id="3" w:name="OLE_LINK3"/>
            <w:r>
              <w:rPr>
                <w:rFonts w:hint="default" w:ascii="Times New Roman" w:hAnsi="Times New Roman" w:cs="Times New Roman" w:eastAsiaTheme="minorEastAsia"/>
                <w:color w:val="000000"/>
                <w:kern w:val="0"/>
                <w:sz w:val="18"/>
                <w:szCs w:val="18"/>
              </w:rPr>
              <w:t>298,896,581.51</w:t>
            </w:r>
            <w:bookmarkEnd w:id="3"/>
          </w:p>
        </w:tc>
        <w:tc>
          <w:tcPr>
            <w:tcW w:w="1110"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53</w:t>
            </w:r>
            <w:r>
              <w:rPr>
                <w:rFonts w:hint="default" w:ascii="Times New Roman" w:hAnsi="Times New Roman" w:cs="Times New Roman" w:eastAsiaTheme="minorEastAsia"/>
                <w:color w:val="000000"/>
                <w:kern w:val="0"/>
                <w:sz w:val="18"/>
                <w:szCs w:val="18"/>
                <w:lang w:val="en-US" w:eastAsia="zh-CN"/>
              </w:rPr>
              <w:t>,</w:t>
            </w:r>
            <w:r>
              <w:rPr>
                <w:rFonts w:hint="default" w:ascii="Times New Roman" w:hAnsi="Times New Roman" w:cs="Times New Roman" w:eastAsiaTheme="minorEastAsia"/>
                <w:color w:val="000000"/>
                <w:kern w:val="0"/>
                <w:sz w:val="18"/>
                <w:szCs w:val="18"/>
              </w:rPr>
              <w:t>888</w:t>
            </w:r>
            <w:r>
              <w:rPr>
                <w:rFonts w:hint="default" w:ascii="Times New Roman" w:hAnsi="Times New Roman" w:cs="Times New Roman" w:eastAsiaTheme="minorEastAsia"/>
                <w:color w:val="000000"/>
                <w:kern w:val="0"/>
                <w:sz w:val="18"/>
                <w:szCs w:val="18"/>
                <w:lang w:val="en-US" w:eastAsia="zh-CN"/>
              </w:rPr>
              <w:t>,</w:t>
            </w:r>
            <w:r>
              <w:rPr>
                <w:rFonts w:hint="default" w:ascii="Times New Roman" w:hAnsi="Times New Roman" w:cs="Times New Roman" w:eastAsiaTheme="minorEastAsia"/>
                <w:color w:val="000000"/>
                <w:kern w:val="0"/>
                <w:sz w:val="18"/>
                <w:szCs w:val="18"/>
              </w:rPr>
              <w:t>540.11</w:t>
            </w:r>
          </w:p>
        </w:tc>
        <w:tc>
          <w:tcPr>
            <w:tcW w:w="1095"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9</w:t>
            </w:r>
            <w:r>
              <w:rPr>
                <w:rFonts w:hint="default" w:ascii="Times New Roman" w:hAnsi="Times New Roman" w:cs="Times New Roman" w:eastAsiaTheme="minorEastAsia"/>
                <w:color w:val="000000"/>
                <w:kern w:val="0"/>
                <w:sz w:val="18"/>
                <w:szCs w:val="18"/>
                <w:lang w:val="en-US" w:eastAsia="zh-CN"/>
              </w:rPr>
              <w:t>,</w:t>
            </w:r>
            <w:r>
              <w:rPr>
                <w:rFonts w:hint="default" w:ascii="Times New Roman" w:hAnsi="Times New Roman" w:cs="Times New Roman" w:eastAsiaTheme="minorEastAsia"/>
                <w:color w:val="000000"/>
                <w:kern w:val="0"/>
                <w:sz w:val="18"/>
                <w:szCs w:val="18"/>
              </w:rPr>
              <w:t>213</w:t>
            </w:r>
            <w:r>
              <w:rPr>
                <w:rFonts w:hint="default" w:ascii="Times New Roman" w:hAnsi="Times New Roman" w:cs="Times New Roman" w:eastAsiaTheme="minorEastAsia"/>
                <w:color w:val="000000"/>
                <w:kern w:val="0"/>
                <w:sz w:val="18"/>
                <w:szCs w:val="18"/>
                <w:lang w:val="en-US" w:eastAsia="zh-CN"/>
              </w:rPr>
              <w:t>,</w:t>
            </w:r>
            <w:r>
              <w:rPr>
                <w:rFonts w:hint="default" w:ascii="Times New Roman" w:hAnsi="Times New Roman" w:cs="Times New Roman" w:eastAsiaTheme="minorEastAsia"/>
                <w:color w:val="000000"/>
                <w:kern w:val="0"/>
                <w:sz w:val="18"/>
                <w:szCs w:val="18"/>
              </w:rPr>
              <w:t>352.76</w:t>
            </w:r>
          </w:p>
        </w:tc>
        <w:tc>
          <w:tcPr>
            <w:tcW w:w="952"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-224</w:t>
            </w:r>
            <w:r>
              <w:rPr>
                <w:rFonts w:hint="default" w:ascii="Times New Roman" w:hAnsi="Times New Roman" w:cs="Times New Roman" w:eastAsiaTheme="minorEastAsia"/>
                <w:color w:val="000000"/>
                <w:kern w:val="0"/>
                <w:sz w:val="18"/>
                <w:szCs w:val="18"/>
                <w:lang w:val="en-US" w:eastAsia="zh-CN"/>
              </w:rPr>
              <w:t>,</w:t>
            </w:r>
            <w:r>
              <w:rPr>
                <w:rFonts w:hint="default" w:ascii="Times New Roman" w:hAnsi="Times New Roman" w:cs="Times New Roman" w:eastAsiaTheme="minorEastAsia"/>
                <w:color w:val="000000"/>
                <w:kern w:val="0"/>
                <w:sz w:val="18"/>
                <w:szCs w:val="18"/>
              </w:rPr>
              <w:t>619.93</w:t>
            </w:r>
          </w:p>
        </w:tc>
        <w:tc>
          <w:tcPr>
            <w:tcW w:w="1133"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62</w:t>
            </w:r>
            <w:r>
              <w:rPr>
                <w:rFonts w:hint="default" w:ascii="Times New Roman" w:hAnsi="Times New Roman" w:cs="Times New Roman" w:eastAsiaTheme="minorEastAsia"/>
                <w:color w:val="000000"/>
                <w:kern w:val="0"/>
                <w:sz w:val="18"/>
                <w:szCs w:val="18"/>
                <w:lang w:val="en-US" w:eastAsia="zh-CN"/>
              </w:rPr>
              <w:t>,</w:t>
            </w:r>
            <w:r>
              <w:rPr>
                <w:rFonts w:hint="default" w:ascii="Times New Roman" w:hAnsi="Times New Roman" w:cs="Times New Roman" w:eastAsiaTheme="minorEastAsia"/>
                <w:color w:val="000000"/>
                <w:kern w:val="0"/>
                <w:sz w:val="18"/>
                <w:szCs w:val="18"/>
              </w:rPr>
              <w:t>877</w:t>
            </w:r>
            <w:r>
              <w:rPr>
                <w:rFonts w:hint="default" w:ascii="Times New Roman" w:hAnsi="Times New Roman" w:cs="Times New Roman" w:eastAsiaTheme="minorEastAsia"/>
                <w:color w:val="000000"/>
                <w:kern w:val="0"/>
                <w:sz w:val="18"/>
                <w:szCs w:val="18"/>
                <w:lang w:val="en-US" w:eastAsia="zh-CN"/>
              </w:rPr>
              <w:t>,</w:t>
            </w:r>
            <w:r>
              <w:rPr>
                <w:rFonts w:hint="default" w:ascii="Times New Roman" w:hAnsi="Times New Roman" w:cs="Times New Roman" w:eastAsiaTheme="minorEastAsia"/>
                <w:color w:val="000000"/>
                <w:kern w:val="0"/>
                <w:sz w:val="18"/>
                <w:szCs w:val="18"/>
              </w:rPr>
              <w:t>272.94</w:t>
            </w:r>
          </w:p>
        </w:tc>
        <w:tc>
          <w:tcPr>
            <w:tcW w:w="1133"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14</w:t>
            </w:r>
            <w:r>
              <w:rPr>
                <w:rFonts w:hint="eastAsia" w:cs="Times New Roman" w:eastAsiaTheme="minorEastAsia"/>
                <w:color w:val="000000"/>
                <w:kern w:val="0"/>
                <w:sz w:val="18"/>
                <w:szCs w:val="18"/>
                <w:lang w:val="en-US" w:eastAsia="zh-CN"/>
              </w:rPr>
              <w:t>,</w:t>
            </w:r>
            <w:r>
              <w:rPr>
                <w:rFonts w:hint="default" w:ascii="Times New Roman" w:hAnsi="Times New Roman" w:cs="Times New Roman" w:eastAsiaTheme="minorEastAsia"/>
                <w:color w:val="000000"/>
                <w:kern w:val="0"/>
                <w:sz w:val="18"/>
                <w:szCs w:val="18"/>
              </w:rPr>
              <w:t>646</w:t>
            </w:r>
            <w:r>
              <w:rPr>
                <w:rFonts w:hint="eastAsia" w:cs="Times New Roman" w:eastAsiaTheme="minorEastAsia"/>
                <w:color w:val="000000"/>
                <w:kern w:val="0"/>
                <w:sz w:val="18"/>
                <w:szCs w:val="18"/>
                <w:lang w:val="en-US" w:eastAsia="zh-CN"/>
              </w:rPr>
              <w:t>,</w:t>
            </w:r>
            <w:r>
              <w:rPr>
                <w:rFonts w:hint="default" w:ascii="Times New Roman" w:hAnsi="Times New Roman" w:cs="Times New Roman" w:eastAsiaTheme="minorEastAsia"/>
                <w:color w:val="000000"/>
                <w:kern w:val="0"/>
                <w:sz w:val="18"/>
                <w:szCs w:val="18"/>
              </w:rPr>
              <w:t>981.8</w:t>
            </w:r>
          </w:p>
        </w:tc>
        <w:tc>
          <w:tcPr>
            <w:tcW w:w="1667" w:type="dxa"/>
            <w:tcBorders>
              <w:top w:val="nil"/>
              <w:left w:val="nil"/>
              <w:bottom w:val="single" w:color="auto" w:sz="4" w:space="0"/>
              <w:right w:val="single" w:color="auto" w:sz="4" w:space="0"/>
            </w:tcBorders>
            <w:vAlign w:val="center"/>
          </w:tcPr>
          <w:p>
            <w:pPr>
              <w:widowControl/>
              <w:jc w:val="right"/>
              <w:rPr>
                <w:rFonts w:hint="default" w:ascii="Times New Roman" w:hAnsi="Times New Roman" w:cs="Times New Roman" w:eastAsiaTheme="minorEastAsia"/>
                <w:color w:val="000000"/>
                <w:kern w:val="0"/>
                <w:sz w:val="18"/>
                <w:szCs w:val="18"/>
              </w:rPr>
            </w:pPr>
            <w:r>
              <w:rPr>
                <w:rFonts w:hint="default" w:ascii="Times New Roman" w:hAnsi="Times New Roman" w:cs="Times New Roman" w:eastAsiaTheme="minorEastAsia"/>
                <w:color w:val="000000"/>
                <w:kern w:val="0"/>
                <w:sz w:val="18"/>
                <w:szCs w:val="18"/>
              </w:rPr>
              <w:t>347</w:t>
            </w:r>
            <w:r>
              <w:rPr>
                <w:rFonts w:hint="default" w:ascii="Times New Roman" w:hAnsi="Times New Roman" w:cs="Times New Roman" w:eastAsiaTheme="minorEastAsia"/>
                <w:color w:val="000000"/>
                <w:kern w:val="0"/>
                <w:sz w:val="18"/>
                <w:szCs w:val="18"/>
                <w:lang w:val="en-US" w:eastAsia="zh-CN"/>
              </w:rPr>
              <w:t>,</w:t>
            </w:r>
            <w:r>
              <w:rPr>
                <w:rFonts w:hint="default" w:ascii="Times New Roman" w:hAnsi="Times New Roman" w:cs="Times New Roman" w:eastAsiaTheme="minorEastAsia"/>
                <w:color w:val="000000"/>
                <w:kern w:val="0"/>
                <w:sz w:val="18"/>
                <w:szCs w:val="18"/>
              </w:rPr>
              <w:t>126</w:t>
            </w:r>
            <w:r>
              <w:rPr>
                <w:rFonts w:hint="default" w:ascii="Times New Roman" w:hAnsi="Times New Roman" w:cs="Times New Roman" w:eastAsiaTheme="minorEastAsia"/>
                <w:color w:val="000000"/>
                <w:kern w:val="0"/>
                <w:sz w:val="18"/>
                <w:szCs w:val="18"/>
                <w:lang w:val="en-US" w:eastAsia="zh-CN"/>
              </w:rPr>
              <w:t>,</w:t>
            </w:r>
            <w:r>
              <w:rPr>
                <w:rFonts w:hint="default" w:ascii="Times New Roman" w:hAnsi="Times New Roman" w:cs="Times New Roman" w:eastAsiaTheme="minorEastAsia"/>
                <w:color w:val="000000"/>
                <w:kern w:val="0"/>
                <w:sz w:val="18"/>
                <w:szCs w:val="18"/>
              </w:rPr>
              <w:t>872.65</w:t>
            </w:r>
          </w:p>
        </w:tc>
      </w:tr>
    </w:tbl>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0"/>
        <w:jc w:val="both"/>
        <w:textAlignment w:val="auto"/>
        <w:outlineLvl w:val="9"/>
        <w:rPr>
          <w:rFonts w:hint="default" w:ascii="Times New Roman" w:hAnsi="Times New Roman" w:eastAsia="Times New Roman" w:cs="Times New Roman"/>
          <w:b/>
          <w:sz w:val="24"/>
        </w:rPr>
      </w:pPr>
      <w:r>
        <w:rPr>
          <w:rFonts w:hint="default" w:ascii="Times New Roman" w:hAnsi="Times New Roman" w:eastAsia="宋体" w:cs="Times New Roman"/>
          <w:b/>
          <w:sz w:val="24"/>
          <w:lang w:eastAsia="zh-CN"/>
        </w:rPr>
        <w:t>（</w:t>
      </w:r>
      <w:r>
        <w:rPr>
          <w:rFonts w:hint="default" w:ascii="Times New Roman" w:hAnsi="Times New Roman" w:eastAsia="宋体" w:cs="Times New Roman"/>
          <w:b/>
          <w:sz w:val="24"/>
          <w:lang w:val="en-US" w:eastAsia="zh-CN"/>
        </w:rPr>
        <w:t>三</w:t>
      </w:r>
      <w:r>
        <w:rPr>
          <w:rFonts w:hint="default" w:ascii="Times New Roman" w:hAnsi="Times New Roman" w:eastAsia="宋体" w:cs="Times New Roman"/>
          <w:b/>
          <w:sz w:val="24"/>
          <w:lang w:eastAsia="zh-CN"/>
        </w:rPr>
        <w:t>）</w:t>
      </w:r>
      <w:r>
        <w:rPr>
          <w:rFonts w:hint="default" w:ascii="Times New Roman" w:hAnsi="Times New Roman" w:eastAsia="Times New Roman" w:cs="Times New Roman"/>
          <w:b/>
          <w:sz w:val="24"/>
        </w:rPr>
        <w:t>本次计提资产减值准备</w:t>
      </w:r>
      <w:r>
        <w:rPr>
          <w:rFonts w:hint="default" w:ascii="Times New Roman" w:hAnsi="Times New Roman" w:eastAsia="宋体" w:cs="Times New Roman"/>
          <w:b/>
          <w:sz w:val="24"/>
          <w:lang w:val="en-US" w:eastAsia="zh-CN"/>
        </w:rPr>
        <w:t>的依据</w:t>
      </w:r>
      <w:r>
        <w:rPr>
          <w:rFonts w:hint="eastAsia" w:cs="Times New Roman"/>
          <w:b/>
          <w:sz w:val="24"/>
          <w:lang w:val="en-US" w:eastAsia="zh-CN"/>
        </w:rPr>
        <w:t>和会计处理过程</w:t>
      </w:r>
      <w:r>
        <w:rPr>
          <w:rFonts w:hint="default" w:ascii="Times New Roman" w:hAnsi="Times New Roman" w:eastAsia="Times New Roman" w:cs="Times New Roman"/>
          <w:b/>
          <w:sz w:val="24"/>
        </w:rPr>
        <w:t xml:space="preserve"> </w:t>
      </w:r>
    </w:p>
    <w:p>
      <w:pPr>
        <w:spacing w:line="360" w:lineRule="auto"/>
        <w:ind w:firstLine="480"/>
        <w:rPr>
          <w:rFonts w:hint="default" w:ascii="Times New Roman" w:hAnsi="Times New Roman" w:cs="Times New Roman"/>
          <w:sz w:val="24"/>
        </w:rPr>
      </w:pPr>
      <w:r>
        <w:rPr>
          <w:rFonts w:hint="default" w:ascii="Times New Roman" w:hAnsi="Times New Roman" w:cs="Times New Roman"/>
          <w:sz w:val="24"/>
        </w:rPr>
        <w:t>1、截止2016年12月31日，公司涉及和服务的部分下游行业市场竞争激烈，部分产品售价持续走低，导致个别业务领域产品销售毛利出现较大幅度下滑，公司对存货进行了减值测试，对由于价格下跌或不适应市场需求的产品计提了存货跌价准备25,572,676.98元。</w:t>
      </w:r>
    </w:p>
    <w:p>
      <w:pPr>
        <w:spacing w:line="360" w:lineRule="auto"/>
        <w:ind w:firstLine="480"/>
        <w:rPr>
          <w:rFonts w:hint="default" w:ascii="Times New Roman" w:hAnsi="Times New Roman" w:cs="Times New Roman"/>
          <w:sz w:val="24"/>
        </w:rPr>
      </w:pPr>
      <w:r>
        <w:rPr>
          <w:rFonts w:hint="default" w:ascii="Times New Roman" w:hAnsi="Times New Roman" w:cs="Times New Roman"/>
          <w:sz w:val="24"/>
        </w:rPr>
        <w:t>2、公司控股子公司河冶科技股份有限公司由于生产线搬迁，导致部分原租用土地上的自建构筑物及公辅无使用价值，计提固定资产减值准备13,992,900.00元；由于产品结构调整，部分原有生产设备不再适用，计提固定资产减值准备1,058,519.51元。</w:t>
      </w:r>
    </w:p>
    <w:p>
      <w:pPr>
        <w:spacing w:line="360" w:lineRule="auto"/>
        <w:ind w:firstLine="480"/>
        <w:rPr>
          <w:rFonts w:hint="default" w:ascii="Times New Roman" w:hAnsi="Times New Roman" w:cs="Times New Roman"/>
          <w:sz w:val="24"/>
        </w:rPr>
      </w:pPr>
      <w:r>
        <w:rPr>
          <w:rFonts w:hint="default" w:ascii="Times New Roman" w:hAnsi="Times New Roman" w:cs="Times New Roman"/>
          <w:sz w:val="24"/>
        </w:rPr>
        <w:t>3、2016年度按照公司会计政策进行计提坏账准备13,264,443.62元，其中按照信用风险特征组合计提坏账准备12,213,032.86元,单项金额虽不重大但单项计提坏账准备1,051,410.76元</w:t>
      </w:r>
      <w:r>
        <w:rPr>
          <w:rFonts w:hint="eastAsia" w:cs="Times New Roman"/>
          <w:sz w:val="24"/>
          <w:lang w:eastAsia="zh-CN"/>
        </w:rPr>
        <w:t>。</w:t>
      </w:r>
    </w:p>
    <w:p>
      <w:pPr>
        <w:numPr>
          <w:ilvl w:val="0"/>
          <w:numId w:val="0"/>
        </w:numPr>
        <w:spacing w:line="360" w:lineRule="auto"/>
        <w:rPr>
          <w:rFonts w:hint="default" w:ascii="Times New Roman" w:hAnsi="Times New Roman" w:cs="Times New Roman"/>
          <w:b/>
          <w:sz w:val="24"/>
        </w:rPr>
      </w:pPr>
      <w:r>
        <w:rPr>
          <w:rFonts w:hint="default" w:ascii="Times New Roman" w:hAnsi="Times New Roman" w:cs="Times New Roman"/>
          <w:b/>
          <w:sz w:val="24"/>
          <w:lang w:val="en-US" w:eastAsia="zh-CN"/>
        </w:rPr>
        <w:t xml:space="preserve">    （四）</w:t>
      </w:r>
      <w:r>
        <w:rPr>
          <w:rFonts w:hint="default" w:ascii="Times New Roman" w:hAnsi="Times New Roman" w:cs="Times New Roman"/>
          <w:b/>
          <w:sz w:val="24"/>
        </w:rPr>
        <w:t xml:space="preserve">公司对计提资产减值准备事项履行的审批程序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b w:val="0"/>
          <w:bCs/>
          <w:sz w:val="24"/>
          <w:highlight w:val="none"/>
        </w:rPr>
      </w:pPr>
      <w:r>
        <w:rPr>
          <w:rFonts w:hint="default" w:ascii="Times New Roman" w:hAnsi="Times New Roman" w:cs="Times New Roman"/>
          <w:b w:val="0"/>
          <w:bCs/>
          <w:sz w:val="24"/>
        </w:rPr>
        <w:t>本次计提资产减值准备事项已经公司第</w:t>
      </w:r>
      <w:r>
        <w:rPr>
          <w:rFonts w:hint="default" w:ascii="Times New Roman" w:hAnsi="Times New Roman" w:cs="Times New Roman"/>
          <w:b w:val="0"/>
          <w:bCs/>
          <w:sz w:val="24"/>
          <w:lang w:eastAsia="zh-CN"/>
        </w:rPr>
        <w:t>六</w:t>
      </w:r>
      <w:r>
        <w:rPr>
          <w:rFonts w:hint="default" w:ascii="Times New Roman" w:hAnsi="Times New Roman" w:cs="Times New Roman"/>
          <w:b w:val="0"/>
          <w:bCs/>
          <w:sz w:val="24"/>
        </w:rPr>
        <w:t>届董事会第</w:t>
      </w:r>
      <w:r>
        <w:rPr>
          <w:rFonts w:hint="default" w:ascii="Times New Roman" w:hAnsi="Times New Roman" w:cs="Times New Roman"/>
          <w:b w:val="0"/>
          <w:bCs/>
          <w:sz w:val="24"/>
          <w:lang w:val="en-US" w:eastAsia="zh-CN"/>
        </w:rPr>
        <w:t>二十二</w:t>
      </w:r>
      <w:r>
        <w:rPr>
          <w:rFonts w:hint="default" w:ascii="Times New Roman" w:hAnsi="Times New Roman" w:cs="Times New Roman"/>
          <w:b w:val="0"/>
          <w:bCs/>
          <w:sz w:val="24"/>
        </w:rPr>
        <w:t>次会议及第</w:t>
      </w:r>
      <w:r>
        <w:rPr>
          <w:rFonts w:hint="default" w:ascii="Times New Roman" w:hAnsi="Times New Roman" w:cs="Times New Roman"/>
          <w:b w:val="0"/>
          <w:bCs/>
          <w:sz w:val="24"/>
          <w:lang w:val="en-US" w:eastAsia="zh-CN"/>
        </w:rPr>
        <w:t>六</w:t>
      </w:r>
      <w:r>
        <w:rPr>
          <w:rFonts w:hint="default" w:ascii="Times New Roman" w:hAnsi="Times New Roman" w:cs="Times New Roman"/>
          <w:b w:val="0"/>
          <w:bCs/>
          <w:sz w:val="24"/>
        </w:rPr>
        <w:t>届监事会第</w:t>
      </w:r>
      <w:r>
        <w:rPr>
          <w:rFonts w:hint="default" w:ascii="Times New Roman" w:hAnsi="Times New Roman" w:cs="Times New Roman"/>
          <w:b w:val="0"/>
          <w:bCs/>
          <w:sz w:val="24"/>
          <w:lang w:val="en-US" w:eastAsia="zh-CN"/>
        </w:rPr>
        <w:t>十七</w:t>
      </w:r>
      <w:r>
        <w:rPr>
          <w:rFonts w:hint="default" w:ascii="Times New Roman" w:hAnsi="Times New Roman" w:cs="Times New Roman"/>
          <w:b w:val="0"/>
          <w:bCs/>
          <w:sz w:val="24"/>
        </w:rPr>
        <w:t>次会议审议通过，独立董事对该事项发表独立意见，同意本次计提资产减值准备。董事会审计委员会对预计需计提的资产减值准备作了合理性的</w:t>
      </w:r>
      <w:r>
        <w:rPr>
          <w:rFonts w:hint="default" w:ascii="Times New Roman" w:hAnsi="Times New Roman" w:cs="Times New Roman"/>
          <w:b w:val="0"/>
          <w:bCs/>
          <w:sz w:val="24"/>
          <w:highlight w:val="none"/>
        </w:rPr>
        <w:t>说明。</w:t>
      </w:r>
      <w:r>
        <w:rPr>
          <w:rFonts w:hint="default" w:ascii="Times New Roman" w:hAnsi="Times New Roman" w:cs="Times New Roman"/>
          <w:b w:val="0"/>
          <w:bCs/>
          <w:sz w:val="24"/>
          <w:highlight w:val="none"/>
          <w:lang w:val="en-US" w:eastAsia="zh-CN"/>
        </w:rPr>
        <w:t>根据相关规则，本次计提资产减值准备</w:t>
      </w:r>
      <w:r>
        <w:rPr>
          <w:rFonts w:hint="eastAsia" w:cs="Times New Roman"/>
          <w:b w:val="0"/>
          <w:bCs/>
          <w:sz w:val="24"/>
          <w:highlight w:val="none"/>
          <w:lang w:val="en-US" w:eastAsia="zh-CN"/>
        </w:rPr>
        <w:t>超过</w:t>
      </w:r>
      <w:r>
        <w:rPr>
          <w:rFonts w:hint="default" w:ascii="Times New Roman" w:hAnsi="Times New Roman" w:cs="Times New Roman"/>
          <w:b w:val="0"/>
          <w:bCs/>
          <w:sz w:val="24"/>
          <w:highlight w:val="none"/>
          <w:lang w:val="en-US" w:eastAsia="zh-CN"/>
        </w:rPr>
        <w:t>公司最近一个会计年度经审计净利润的</w:t>
      </w:r>
      <w:r>
        <w:rPr>
          <w:rFonts w:hint="eastAsia" w:cs="Times New Roman"/>
          <w:b w:val="0"/>
          <w:bCs/>
          <w:sz w:val="24"/>
          <w:highlight w:val="none"/>
          <w:lang w:val="en-US" w:eastAsia="zh-CN"/>
        </w:rPr>
        <w:t>50</w:t>
      </w:r>
      <w:r>
        <w:rPr>
          <w:rFonts w:hint="default" w:ascii="Times New Roman" w:hAnsi="Times New Roman" w:cs="Times New Roman"/>
          <w:b w:val="0"/>
          <w:bCs/>
          <w:sz w:val="24"/>
          <w:highlight w:val="none"/>
          <w:lang w:val="en-US" w:eastAsia="zh-CN"/>
        </w:rPr>
        <w:t>%，且绝对金额超过500万元，还应</w:t>
      </w:r>
      <w:r>
        <w:rPr>
          <w:rFonts w:hint="default" w:ascii="Times New Roman" w:hAnsi="Times New Roman" w:cs="Times New Roman"/>
          <w:b w:val="0"/>
          <w:bCs/>
          <w:sz w:val="24"/>
          <w:highlight w:val="none"/>
        </w:rPr>
        <w:t xml:space="preserve">提交公司2016年年度股东大会审议。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0"/>
        <w:jc w:val="both"/>
        <w:textAlignment w:val="auto"/>
        <w:outlineLvl w:val="9"/>
        <w:rPr>
          <w:rFonts w:hint="default" w:ascii="Times New Roman" w:hAnsi="Times New Roman" w:eastAsia="Times New Roman" w:cs="Times New Roman"/>
          <w:b/>
          <w:sz w:val="24"/>
        </w:rPr>
      </w:pPr>
      <w:r>
        <w:rPr>
          <w:rFonts w:hint="default" w:ascii="Times New Roman" w:hAnsi="Times New Roman" w:eastAsia="Times New Roman" w:cs="Times New Roman"/>
          <w:b/>
          <w:sz w:val="24"/>
        </w:rPr>
        <w:t xml:space="preserve">二、本次计提减值损失对公司的影响 </w:t>
      </w:r>
    </w:p>
    <w:p>
      <w:pPr>
        <w:spacing w:line="360" w:lineRule="auto"/>
        <w:ind w:firstLine="480"/>
        <w:rPr>
          <w:rFonts w:hint="default" w:ascii="Times New Roman" w:hAnsi="Times New Roman" w:cs="Times New Roman"/>
          <w:sz w:val="24"/>
        </w:rPr>
      </w:pPr>
      <w:r>
        <w:rPr>
          <w:rFonts w:hint="default" w:ascii="Times New Roman" w:hAnsi="Times New Roman" w:cs="Times New Roman"/>
          <w:sz w:val="24"/>
        </w:rPr>
        <w:t>公司本次计提资产减值准备，将减少归属于</w:t>
      </w:r>
      <w:r>
        <w:rPr>
          <w:rFonts w:hint="eastAsia" w:cs="Times New Roman"/>
          <w:sz w:val="24"/>
          <w:lang w:val="en-US" w:eastAsia="zh-CN"/>
        </w:rPr>
        <w:t>公司</w:t>
      </w:r>
      <w:r>
        <w:rPr>
          <w:rFonts w:hint="default" w:ascii="Times New Roman" w:hAnsi="Times New Roman" w:cs="Times New Roman"/>
          <w:sz w:val="24"/>
        </w:rPr>
        <w:t>2016年度净利润53,888,540.11元，减少2016年度归属于母公司所有者净利润43,492,365.83元。</w:t>
      </w:r>
    </w:p>
    <w:p>
      <w:pPr>
        <w:spacing w:line="360" w:lineRule="auto"/>
        <w:ind w:firstLine="480"/>
        <w:rPr>
          <w:rFonts w:hint="default" w:ascii="Times New Roman" w:hAnsi="Times New Roman" w:eastAsia="Times New Roman" w:cs="Times New Roman"/>
          <w:b/>
          <w:color w:val="auto"/>
          <w:sz w:val="24"/>
        </w:rPr>
      </w:pPr>
      <w:r>
        <w:rPr>
          <w:rFonts w:hint="default" w:ascii="Times New Roman" w:hAnsi="Times New Roman" w:cs="Times New Roman"/>
          <w:b/>
          <w:color w:val="auto"/>
          <w:sz w:val="24"/>
          <w:lang w:val="en-US" w:eastAsia="zh-CN"/>
        </w:rPr>
        <w:t>三</w:t>
      </w:r>
      <w:r>
        <w:rPr>
          <w:rFonts w:hint="default" w:ascii="Times New Roman" w:hAnsi="Times New Roman" w:cs="Times New Roman"/>
          <w:b/>
          <w:color w:val="auto"/>
          <w:sz w:val="24"/>
        </w:rPr>
        <w:t xml:space="preserve">、董事会关于计提资产减值准备的说明 </w:t>
      </w:r>
    </w:p>
    <w:p>
      <w:pPr>
        <w:spacing w:line="360" w:lineRule="auto"/>
        <w:ind w:firstLine="480"/>
        <w:rPr>
          <w:rFonts w:hint="default" w:ascii="Times New Roman" w:hAnsi="Times New Roman" w:cs="Times New Roman"/>
          <w:color w:val="auto"/>
          <w:sz w:val="24"/>
        </w:rPr>
      </w:pPr>
      <w:r>
        <w:rPr>
          <w:rFonts w:hint="default" w:ascii="Times New Roman" w:hAnsi="Times New Roman" w:cs="Times New Roman"/>
          <w:color w:val="auto"/>
          <w:sz w:val="24"/>
        </w:rPr>
        <w:t>公司董事会审计委员会已提前审阅该议案并发表意见，同意将《关于</w:t>
      </w:r>
      <w:r>
        <w:rPr>
          <w:rFonts w:hint="default" w:ascii="Times New Roman" w:hAnsi="Times New Roman" w:cs="Times New Roman"/>
          <w:color w:val="auto"/>
          <w:sz w:val="24"/>
          <w:lang w:eastAsia="zh-CN"/>
        </w:rPr>
        <w:t>公司</w:t>
      </w:r>
      <w:r>
        <w:rPr>
          <w:rFonts w:hint="default" w:ascii="Times New Roman" w:hAnsi="Times New Roman" w:cs="Times New Roman"/>
          <w:color w:val="auto"/>
          <w:sz w:val="24"/>
        </w:rPr>
        <w:t>201</w:t>
      </w:r>
      <w:r>
        <w:rPr>
          <w:rFonts w:hint="default" w:ascii="Times New Roman" w:hAnsi="Times New Roman" w:cs="Times New Roman"/>
          <w:color w:val="auto"/>
          <w:sz w:val="24"/>
          <w:lang w:val="en-US" w:eastAsia="zh-CN"/>
        </w:rPr>
        <w:t>6</w:t>
      </w:r>
      <w:r>
        <w:rPr>
          <w:rFonts w:hint="default" w:ascii="Times New Roman" w:hAnsi="Times New Roman" w:cs="Times New Roman"/>
          <w:color w:val="auto"/>
          <w:sz w:val="24"/>
        </w:rPr>
        <w:t>年度计提资产减值准备的议案》提交公司董事会审议。公司董事会认为，本次资产减值准备计提遵照《企业会计准则》和公司相关会计政策的规定，是根据相关资产的实际情况并经资产减值测试后基于谨慎性原则而作出的，计提资产减值准备依据充分。计提资产减值准备后，公司2016年度财务报表能够更加公允地反映截止2016年12月31日公司的财务状况、资产价值及经营成果，使公司的会计信息更</w:t>
      </w:r>
      <w:bookmarkStart w:id="4" w:name="_GoBack"/>
      <w:bookmarkEnd w:id="4"/>
      <w:r>
        <w:rPr>
          <w:rFonts w:hint="default" w:ascii="Times New Roman" w:hAnsi="Times New Roman" w:cs="Times New Roman"/>
          <w:color w:val="auto"/>
          <w:sz w:val="24"/>
        </w:rPr>
        <w:t xml:space="preserve">具有合理性。 </w:t>
      </w:r>
    </w:p>
    <w:p>
      <w:pPr>
        <w:spacing w:line="360" w:lineRule="auto"/>
        <w:ind w:firstLine="480"/>
        <w:rPr>
          <w:rFonts w:hint="default" w:ascii="Times New Roman" w:hAnsi="Times New Roman" w:eastAsia="Times New Roman" w:cs="Times New Roman"/>
          <w:b/>
          <w:bCs/>
          <w:sz w:val="24"/>
        </w:rPr>
      </w:pPr>
      <w:r>
        <w:rPr>
          <w:rFonts w:hint="default" w:ascii="Times New Roman" w:hAnsi="Times New Roman" w:eastAsia="宋体" w:cs="Times New Roman"/>
          <w:b/>
          <w:bCs/>
          <w:sz w:val="24"/>
          <w:lang w:val="en-US" w:eastAsia="zh-CN"/>
        </w:rPr>
        <w:t>四</w:t>
      </w:r>
      <w:r>
        <w:rPr>
          <w:rFonts w:hint="default" w:ascii="Times New Roman" w:hAnsi="Times New Roman" w:cs="Times New Roman"/>
          <w:b/>
          <w:bCs/>
          <w:sz w:val="24"/>
        </w:rPr>
        <w:t>、</w:t>
      </w:r>
      <w:r>
        <w:rPr>
          <w:rFonts w:hint="default" w:ascii="Times New Roman" w:hAnsi="Times New Roman" w:eastAsia="Times New Roman" w:cs="Times New Roman"/>
          <w:b/>
          <w:bCs/>
          <w:sz w:val="24"/>
        </w:rPr>
        <w:t xml:space="preserve"> 独立董事关于计提资产减值准备的独立意见 </w:t>
      </w:r>
    </w:p>
    <w:p>
      <w:pPr>
        <w:spacing w:line="360" w:lineRule="auto"/>
        <w:ind w:firstLine="480"/>
        <w:rPr>
          <w:rFonts w:hint="default" w:ascii="Times New Roman" w:hAnsi="Times New Roman" w:cs="Times New Roman"/>
          <w:sz w:val="24"/>
        </w:rPr>
      </w:pPr>
      <w:r>
        <w:rPr>
          <w:rFonts w:hint="default" w:ascii="Times New Roman" w:hAnsi="Times New Roman" w:cs="Times New Roman"/>
          <w:sz w:val="24"/>
        </w:rPr>
        <w:t>独立董事对公司2016年度计提资产减值准备事项发表如下独立意见：公司本次计提相关资产减值准备是基于稳健的会计原则，依据充分合理，符合《企业会计准则》和公司相关制度的规定，并履行了相应的</w:t>
      </w:r>
      <w:r>
        <w:rPr>
          <w:rFonts w:hint="eastAsia" w:cs="Times New Roman"/>
          <w:sz w:val="24"/>
          <w:lang w:val="en-US" w:eastAsia="zh-CN"/>
        </w:rPr>
        <w:t>董事会</w:t>
      </w:r>
      <w:r>
        <w:rPr>
          <w:rFonts w:hint="default" w:ascii="Times New Roman" w:hAnsi="Times New Roman" w:cs="Times New Roman"/>
          <w:sz w:val="24"/>
        </w:rPr>
        <w:t>审批程序。《关于公司2016 年度计提资产减值准备的议案》尚需提交公司2016年年度股东大会审议。计提资产减值准备后，公司2016年度财务报表能够更加公允地反映截止2016年12月31日公司的财务状况、资产价值及经营成果，有助于向投资者提供更加真实、可靠、准确的会计信息。公司本次计提资产减值准备符合公司的整体利益，不存在损害公司和全体股东特别是中小股东利益的情况。 因此，我们同意公司2016 年度计提资产减值准备</w:t>
      </w:r>
      <w:r>
        <w:rPr>
          <w:rFonts w:hint="default" w:ascii="Times New Roman" w:hAnsi="Times New Roman" w:cs="Times New Roman"/>
          <w:sz w:val="24"/>
          <w:lang w:eastAsia="zh-CN"/>
        </w:rPr>
        <w:t>，</w:t>
      </w:r>
      <w:r>
        <w:rPr>
          <w:rFonts w:hint="default" w:ascii="Times New Roman" w:hAnsi="Times New Roman" w:cs="Times New Roman"/>
          <w:sz w:val="24"/>
          <w:lang w:val="en-US" w:eastAsia="zh-CN"/>
        </w:rPr>
        <w:t>并将该议案</w:t>
      </w:r>
      <w:r>
        <w:rPr>
          <w:rFonts w:hint="default" w:ascii="Times New Roman" w:hAnsi="Times New Roman" w:cs="Times New Roman"/>
          <w:sz w:val="24"/>
        </w:rPr>
        <w:t>提交公司股东大会审议。</w:t>
      </w:r>
    </w:p>
    <w:p>
      <w:pPr>
        <w:spacing w:line="360" w:lineRule="auto"/>
        <w:ind w:firstLine="480"/>
        <w:rPr>
          <w:rFonts w:hint="default" w:ascii="Times New Roman" w:hAnsi="Times New Roman" w:eastAsia="Times New Roman" w:cs="Times New Roman"/>
          <w:b/>
          <w:bCs/>
          <w:sz w:val="24"/>
        </w:rPr>
      </w:pPr>
      <w:r>
        <w:rPr>
          <w:rFonts w:hint="default" w:ascii="Times New Roman" w:hAnsi="Times New Roman" w:eastAsia="宋体" w:cs="Times New Roman"/>
          <w:b/>
          <w:bCs/>
          <w:sz w:val="24"/>
          <w:lang w:val="en-US" w:eastAsia="zh-CN"/>
        </w:rPr>
        <w:t>五</w:t>
      </w:r>
      <w:r>
        <w:rPr>
          <w:rFonts w:hint="default" w:ascii="Times New Roman" w:hAnsi="Times New Roman" w:cs="Times New Roman"/>
          <w:b/>
          <w:bCs/>
          <w:sz w:val="24"/>
        </w:rPr>
        <w:t>、监事会审核意见</w:t>
      </w:r>
      <w:r>
        <w:rPr>
          <w:rFonts w:hint="default" w:ascii="Times New Roman" w:hAnsi="Times New Roman" w:eastAsia="Times New Roman" w:cs="Times New Roman"/>
          <w:b/>
          <w:bCs/>
          <w:sz w:val="24"/>
        </w:rPr>
        <w:t xml:space="preserve"> </w:t>
      </w:r>
    </w:p>
    <w:p>
      <w:pPr>
        <w:spacing w:line="360" w:lineRule="auto"/>
        <w:ind w:firstLine="480"/>
        <w:rPr>
          <w:rFonts w:hint="default" w:ascii="Times New Roman" w:hAnsi="Times New Roman" w:cs="Times New Roman"/>
          <w:sz w:val="24"/>
        </w:rPr>
      </w:pPr>
      <w:r>
        <w:rPr>
          <w:rFonts w:hint="default" w:ascii="Times New Roman" w:hAnsi="Times New Roman" w:cs="Times New Roman"/>
          <w:sz w:val="24"/>
        </w:rPr>
        <w:t>监事会认为：公司本次计提资产减值准备的决议程序合法，依据充分；计提符合企业会计准则等相关规定，符合公司实际情况，计提后更能公允反映公司资产状况，公司董事会就该项议案的决策程序符合相关法律法规的有关规定，同意本次计提资产减值准备。</w:t>
      </w:r>
    </w:p>
    <w:p>
      <w:pPr>
        <w:spacing w:line="360" w:lineRule="auto"/>
        <w:ind w:firstLine="480"/>
        <w:rPr>
          <w:rFonts w:hint="default" w:ascii="Times New Roman" w:hAnsi="Times New Roman" w:eastAsia="Times New Roman" w:cs="Times New Roman"/>
          <w:b/>
          <w:bCs/>
          <w:sz w:val="24"/>
        </w:rPr>
      </w:pPr>
      <w:r>
        <w:rPr>
          <w:rFonts w:hint="default" w:ascii="Times New Roman" w:hAnsi="Times New Roman" w:cs="Times New Roman"/>
          <w:b/>
          <w:bCs/>
          <w:sz w:val="24"/>
          <w:lang w:val="en-US" w:eastAsia="zh-CN"/>
        </w:rPr>
        <w:t>六</w:t>
      </w:r>
      <w:r>
        <w:rPr>
          <w:rFonts w:hint="default" w:ascii="Times New Roman" w:hAnsi="Times New Roman" w:cs="Times New Roman"/>
          <w:b/>
          <w:bCs/>
          <w:sz w:val="24"/>
        </w:rPr>
        <w:t>、备查文件</w:t>
      </w:r>
    </w:p>
    <w:p>
      <w:pPr>
        <w:spacing w:line="360" w:lineRule="auto"/>
        <w:ind w:firstLine="480"/>
        <w:rPr>
          <w:rFonts w:hint="default" w:ascii="Times New Roman" w:hAnsi="Times New Roman" w:eastAsia="Times New Roman" w:cs="Times New Roman"/>
          <w:sz w:val="24"/>
        </w:rPr>
      </w:pPr>
      <w:r>
        <w:rPr>
          <w:rFonts w:hint="default" w:ascii="Times New Roman" w:hAnsi="Times New Roman" w:eastAsia="Times New Roman" w:cs="Times New Roman"/>
          <w:sz w:val="24"/>
        </w:rPr>
        <w:t>1</w:t>
      </w:r>
      <w:r>
        <w:rPr>
          <w:rFonts w:hint="default" w:ascii="Times New Roman" w:hAnsi="Times New Roman" w:cs="Times New Roman"/>
          <w:sz w:val="24"/>
        </w:rPr>
        <w:t>、公司第六届董事会第</w:t>
      </w:r>
      <w:r>
        <w:rPr>
          <w:rFonts w:hint="default" w:ascii="Times New Roman" w:hAnsi="Times New Roman" w:cs="Times New Roman"/>
          <w:sz w:val="24"/>
          <w:lang w:eastAsia="zh-CN"/>
        </w:rPr>
        <w:t>二十二</w:t>
      </w:r>
      <w:r>
        <w:rPr>
          <w:rFonts w:hint="default" w:ascii="Times New Roman" w:hAnsi="Times New Roman" w:cs="Times New Roman"/>
          <w:sz w:val="24"/>
        </w:rPr>
        <w:t>次会议决议；</w:t>
      </w:r>
    </w:p>
    <w:p>
      <w:pPr>
        <w:spacing w:line="360" w:lineRule="auto"/>
        <w:ind w:firstLine="480"/>
        <w:rPr>
          <w:rFonts w:hint="default" w:ascii="Times New Roman" w:hAnsi="Times New Roman" w:cs="Times New Roman"/>
          <w:sz w:val="24"/>
        </w:rPr>
      </w:pPr>
      <w:r>
        <w:rPr>
          <w:rFonts w:hint="default" w:ascii="Times New Roman" w:hAnsi="Times New Roman" w:eastAsia="Times New Roman" w:cs="Times New Roman"/>
          <w:sz w:val="24"/>
        </w:rPr>
        <w:t>2</w:t>
      </w:r>
      <w:r>
        <w:rPr>
          <w:rFonts w:hint="default" w:ascii="Times New Roman" w:hAnsi="Times New Roman" w:cs="Times New Roman"/>
          <w:sz w:val="24"/>
        </w:rPr>
        <w:t>、公司第六届监事会第</w:t>
      </w:r>
      <w:r>
        <w:rPr>
          <w:rFonts w:hint="default" w:ascii="Times New Roman" w:hAnsi="Times New Roman" w:cs="Times New Roman"/>
          <w:sz w:val="24"/>
          <w:lang w:val="en-US" w:eastAsia="zh-CN"/>
        </w:rPr>
        <w:t>十七</w:t>
      </w:r>
      <w:r>
        <w:rPr>
          <w:rFonts w:hint="default" w:ascii="Times New Roman" w:hAnsi="Times New Roman" w:cs="Times New Roman"/>
          <w:sz w:val="24"/>
        </w:rPr>
        <w:t>次会议决议；</w:t>
      </w:r>
    </w:p>
    <w:p>
      <w:pPr>
        <w:spacing w:line="360" w:lineRule="auto"/>
        <w:ind w:firstLine="480"/>
        <w:rPr>
          <w:rFonts w:hint="default" w:ascii="Times New Roman" w:hAnsi="Times New Roman" w:cs="Times New Roman"/>
          <w:sz w:val="24"/>
        </w:rPr>
      </w:pPr>
      <w:r>
        <w:rPr>
          <w:rFonts w:hint="default" w:ascii="Times New Roman" w:hAnsi="Times New Roman" w:cs="Times New Roman"/>
          <w:sz w:val="24"/>
          <w:lang w:val="en-US" w:eastAsia="zh-CN"/>
        </w:rPr>
        <w:t>3</w:t>
      </w:r>
      <w:r>
        <w:rPr>
          <w:rFonts w:hint="default" w:ascii="Times New Roman" w:hAnsi="Times New Roman" w:cs="Times New Roman"/>
          <w:sz w:val="24"/>
        </w:rPr>
        <w:t>、独立董事关于公司2016年度计提资产减值准备的独立意见</w:t>
      </w:r>
      <w:r>
        <w:rPr>
          <w:rFonts w:hint="eastAsia" w:cs="Times New Roman"/>
          <w:sz w:val="24"/>
          <w:lang w:eastAsia="zh-CN"/>
        </w:rPr>
        <w:t>。</w:t>
      </w:r>
    </w:p>
    <w:p>
      <w:pPr>
        <w:autoSpaceDE w:val="0"/>
        <w:autoSpaceDN w:val="0"/>
        <w:adjustRightInd w:val="0"/>
        <w:spacing w:line="360" w:lineRule="auto"/>
        <w:ind w:firstLine="480" w:firstLineChars="200"/>
        <w:jc w:val="left"/>
        <w:rPr>
          <w:rFonts w:hint="default" w:ascii="Times New Roman" w:hAnsi="Times New Roman" w:eastAsia="Times New Roman" w:cs="Times New Roman"/>
          <w:kern w:val="0"/>
          <w:sz w:val="24"/>
        </w:rPr>
      </w:pPr>
    </w:p>
    <w:p>
      <w:pPr>
        <w:autoSpaceDE w:val="0"/>
        <w:autoSpaceDN w:val="0"/>
        <w:adjustRightInd w:val="0"/>
        <w:spacing w:line="360" w:lineRule="auto"/>
        <w:ind w:firstLine="480" w:firstLineChars="200"/>
        <w:jc w:val="left"/>
        <w:rPr>
          <w:rFonts w:hint="default" w:ascii="Times New Roman" w:hAnsi="Times New Roman" w:cs="Times New Roman"/>
          <w:kern w:val="0"/>
          <w:sz w:val="24"/>
        </w:rPr>
      </w:pPr>
      <w:r>
        <w:rPr>
          <w:rFonts w:hint="default" w:ascii="Times New Roman" w:hAnsi="Times New Roman" w:cs="Times New Roman"/>
          <w:kern w:val="0"/>
          <w:sz w:val="24"/>
        </w:rPr>
        <w:t>特此公告。</w:t>
      </w:r>
    </w:p>
    <w:p>
      <w:pPr>
        <w:spacing w:line="360" w:lineRule="auto"/>
        <w:ind w:firstLine="420"/>
        <w:jc w:val="right"/>
        <w:rPr>
          <w:rFonts w:hint="default" w:ascii="Times New Roman" w:hAnsi="Times New Roman" w:cs="Times New Roman"/>
          <w:sz w:val="28"/>
        </w:rPr>
      </w:pPr>
    </w:p>
    <w:p>
      <w:pPr>
        <w:spacing w:line="360" w:lineRule="auto"/>
        <w:ind w:firstLine="420"/>
        <w:jc w:val="right"/>
        <w:rPr>
          <w:rFonts w:hint="default" w:ascii="Times New Roman" w:hAnsi="Times New Roman" w:cs="Times New Roman"/>
          <w:sz w:val="28"/>
        </w:rPr>
      </w:pPr>
    </w:p>
    <w:p>
      <w:pPr>
        <w:spacing w:line="360" w:lineRule="auto"/>
        <w:ind w:firstLine="420"/>
        <w:jc w:val="right"/>
        <w:rPr>
          <w:rFonts w:hint="default" w:ascii="Times New Roman" w:hAnsi="Times New Roman" w:cs="Times New Roman"/>
          <w:sz w:val="28"/>
        </w:rPr>
      </w:pPr>
    </w:p>
    <w:p>
      <w:pPr>
        <w:spacing w:line="360" w:lineRule="auto"/>
        <w:ind w:firstLine="420"/>
        <w:jc w:val="right"/>
        <w:rPr>
          <w:rFonts w:hint="default" w:ascii="Times New Roman" w:hAnsi="Times New Roman" w:cs="Times New Roman"/>
          <w:sz w:val="28"/>
        </w:rPr>
      </w:pPr>
    </w:p>
    <w:p>
      <w:pPr>
        <w:spacing w:line="360" w:lineRule="auto"/>
        <w:ind w:firstLine="420"/>
        <w:jc w:val="right"/>
        <w:rPr>
          <w:rFonts w:hint="default" w:ascii="Times New Roman" w:hAnsi="Times New Roman" w:cs="Times New Roman"/>
          <w:b/>
          <w:sz w:val="28"/>
        </w:rPr>
      </w:pPr>
      <w:r>
        <w:rPr>
          <w:rFonts w:hint="default" w:ascii="Times New Roman" w:hAnsi="Times New Roman" w:cs="Times New Roman"/>
          <w:b/>
          <w:sz w:val="28"/>
        </w:rPr>
        <w:t>安泰科技股份有限公司董事会</w:t>
      </w:r>
    </w:p>
    <w:p>
      <w:pPr>
        <w:wordWrap w:val="0"/>
        <w:spacing w:line="360" w:lineRule="auto"/>
        <w:ind w:right="560" w:firstLine="420"/>
        <w:jc w:val="right"/>
        <w:rPr>
          <w:rFonts w:hint="default" w:ascii="Times New Roman" w:hAnsi="Times New Roman" w:cs="Times New Roman"/>
        </w:rPr>
      </w:pPr>
      <w:r>
        <w:rPr>
          <w:rFonts w:hint="default" w:ascii="Times New Roman" w:hAnsi="Times New Roman" w:cs="Times New Roman"/>
          <w:b/>
          <w:sz w:val="28"/>
        </w:rPr>
        <w:t>201</w:t>
      </w:r>
      <w:r>
        <w:rPr>
          <w:rFonts w:hint="default" w:ascii="Times New Roman" w:hAnsi="Times New Roman" w:cs="Times New Roman"/>
          <w:b/>
          <w:sz w:val="28"/>
          <w:lang w:val="en-US" w:eastAsia="zh-CN"/>
        </w:rPr>
        <w:t>7</w:t>
      </w:r>
      <w:r>
        <w:rPr>
          <w:rFonts w:hint="default" w:ascii="Times New Roman" w:hAnsi="Times New Roman" w:cs="Times New Roman"/>
          <w:b/>
          <w:sz w:val="28"/>
        </w:rPr>
        <w:t>年</w:t>
      </w:r>
      <w:r>
        <w:rPr>
          <w:rFonts w:hint="default" w:ascii="Times New Roman" w:hAnsi="Times New Roman" w:cs="Times New Roman"/>
          <w:b/>
          <w:sz w:val="28"/>
          <w:lang w:val="en-US" w:eastAsia="zh-CN"/>
        </w:rPr>
        <w:t>3</w:t>
      </w:r>
      <w:r>
        <w:rPr>
          <w:rFonts w:hint="default" w:ascii="Times New Roman" w:hAnsi="Times New Roman" w:cs="Times New Roman"/>
          <w:b/>
          <w:sz w:val="28"/>
        </w:rPr>
        <w:t>月</w:t>
      </w:r>
      <w:r>
        <w:rPr>
          <w:rFonts w:hint="default" w:ascii="Times New Roman" w:hAnsi="Times New Roman" w:cs="Times New Roman"/>
          <w:b/>
          <w:sz w:val="28"/>
          <w:lang w:val="en-US" w:eastAsia="zh-CN"/>
        </w:rPr>
        <w:t>31</w:t>
      </w:r>
      <w:r>
        <w:rPr>
          <w:rFonts w:hint="default" w:ascii="Times New Roman" w:hAnsi="Times New Roman" w:cs="Times New Roman"/>
          <w:b/>
          <w:sz w:val="28"/>
        </w:rPr>
        <w:t>日</w:t>
      </w:r>
    </w:p>
    <w:p>
      <w:pPr>
        <w:rPr>
          <w:rFonts w:hint="default" w:ascii="Times New Roman" w:hAnsi="Times New Roman" w:cs="Times New Roman"/>
        </w:rPr>
      </w:pPr>
    </w:p>
    <w:sectPr>
      <w:headerReference r:id="rId3" w:type="default"/>
      <w:footerReference r:id="rId4" w:type="default"/>
      <w:pgSz w:w="11900" w:h="16838"/>
      <w:pgMar w:top="1440" w:right="1800" w:bottom="1440" w:left="180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EFF" w:usb1="C0007843"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EFF" w:usb1="C0007843"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EFF" w:usb1="C0007843"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swiss"/>
    <w:pitch w:val="default"/>
    <w:sig w:usb0="E0002E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Batang">
    <w:altName w:val="Malgun Gothic"/>
    <w:panose1 w:val="02030600000101010101"/>
    <w:charset w:val="81"/>
    <w:family w:val="roman"/>
    <w:pitch w:val="default"/>
    <w:sig w:usb0="00000000" w:usb1="00000000" w:usb2="00000030" w:usb3="00000000" w:csb0="4008009F" w:csb1="DFD70000"/>
  </w:font>
  <w:font w:name="仿宋_GB2312">
    <w:altName w:val="仿宋"/>
    <w:panose1 w:val="02010609030101010101"/>
    <w:charset w:val="86"/>
    <w:family w:val="modern"/>
    <w:pitch w:val="default"/>
    <w:sig w:usb0="00000000" w:usb1="00000000" w:usb2="00000000" w:usb3="00000000" w:csb0="00040000" w:csb1="00000000"/>
  </w:font>
  <w:font w:name="Malgun Gothic">
    <w:panose1 w:val="020B0503020000020004"/>
    <w:charset w:val="81"/>
    <w:family w:val="auto"/>
    <w:pitch w:val="default"/>
    <w:sig w:usb0="9000002F" w:usb1="29D77CFB" w:usb2="00000012" w:usb3="00000000" w:csb0="00080001" w:csb1="00000000"/>
  </w:font>
  <w:font w:name="Courier New">
    <w:panose1 w:val="02070309020205020404"/>
    <w:charset w:val="00"/>
    <w:family w:val="decorative"/>
    <w:pitch w:val="default"/>
    <w:sig w:usb0="E0002EFF" w:usb1="C0007843" w:usb2="00000009" w:usb3="00000000" w:csb0="400001FF" w:csb1="FFFF0000"/>
  </w:font>
  <w:font w:name="Verdana">
    <w:panose1 w:val="020B0604030504040204"/>
    <w:charset w:val="00"/>
    <w:family w:val="decorative"/>
    <w:pitch w:val="default"/>
    <w:sig w:usb0="A10006FF" w:usb1="4000205B" w:usb2="00000010" w:usb3="00000000" w:csb0="2000019F" w:csb1="00000000"/>
  </w:font>
  <w:font w:name="Batang">
    <w:altName w:val="Malgun Gothic"/>
    <w:panose1 w:val="02030600000101010101"/>
    <w:charset w:val="81"/>
    <w:family w:val="modern"/>
    <w:pitch w:val="default"/>
    <w:sig w:usb0="00000000" w:usb1="00000000" w:usb2="00000030" w:usb3="00000000" w:csb0="4008009F" w:csb1="DFD70000"/>
  </w:font>
  <w:font w:name="仿宋_GB2312">
    <w:altName w:val="仿宋"/>
    <w:panose1 w:val="02010609030101010101"/>
    <w:charset w:val="86"/>
    <w:family w:val="swiss"/>
    <w:pitch w:val="default"/>
    <w:sig w:usb0="00000000" w:usb1="00000000" w:usb2="00000000" w:usb3="00000000" w:csb0="00040000" w:csb1="00000000"/>
  </w:font>
  <w:font w:name="Courier New">
    <w:panose1 w:val="02070309020205020404"/>
    <w:charset w:val="00"/>
    <w:family w:val="roman"/>
    <w:pitch w:val="default"/>
    <w:sig w:usb0="E0002EFF" w:usb1="C0007843" w:usb2="00000009" w:usb3="00000000" w:csb0="400001FF" w:csb1="FFFF0000"/>
  </w:font>
  <w:font w:name="Verdana">
    <w:panose1 w:val="020B0604030504040204"/>
    <w:charset w:val="00"/>
    <w:family w:val="roman"/>
    <w:pitch w:val="default"/>
    <w:sig w:usb0="A10006FF" w:usb1="4000205B" w:usb2="00000010" w:usb3="00000000" w:csb0="2000019F" w:csb1="00000000"/>
  </w:font>
  <w:font w:name="Batang">
    <w:altName w:val="Malgun Gothic"/>
    <w:panose1 w:val="02030600000101010101"/>
    <w:charset w:val="81"/>
    <w:family w:val="swiss"/>
    <w:pitch w:val="default"/>
    <w:sig w:usb0="00000000" w:usb1="00000000" w:usb2="00000030" w:usb3="00000000" w:csb0="4008009F" w:csb1="DFD70000"/>
  </w:font>
  <w:font w:name="仿宋_GB2312">
    <w:altName w:val="仿宋"/>
    <w:panose1 w:val="02010609030101010101"/>
    <w:charset w:val="86"/>
    <w:family w:val="decorative"/>
    <w:pitch w:val="default"/>
    <w:sig w:usb0="00000000" w:usb1="0000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modern"/>
    <w:pitch w:val="default"/>
    <w:sig w:usb0="A10006FF" w:usb1="4000205B" w:usb2="00000010" w:usb3="00000000" w:csb0="2000019F" w:csb1="00000000"/>
  </w:font>
  <w:font w:name="Batang">
    <w:altName w:val="Malgun Gothic"/>
    <w:panose1 w:val="02030600000101010101"/>
    <w:charset w:val="81"/>
    <w:family w:val="decorative"/>
    <w:pitch w:val="default"/>
    <w:sig w:usb0="00000000" w:usb1="00000000" w:usb2="00000030" w:usb3="00000000" w:csb0="4008009F" w:csb1="DFD70000"/>
  </w:font>
  <w:font w:name="仿宋_GB2312">
    <w:altName w:val="仿宋"/>
    <w:panose1 w:val="02010609030101010101"/>
    <w:charset w:val="86"/>
    <w:family w:val="roman"/>
    <w:pitch w:val="default"/>
    <w:sig w:usb0="00000000" w:usb1="0000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微软雅黑">
    <w:panose1 w:val="020B0503020204020204"/>
    <w:charset w:val="86"/>
    <w:family w:val="auto"/>
    <w:pitch w:val="default"/>
    <w:sig w:usb0="80000287" w:usb1="28C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rPr>
        <w:rFonts w:hint="eastAsia"/>
        <w:sz w:val="18"/>
      </w:rPr>
    </w:pPr>
    <w:r>
      <w:rPr>
        <w:rFonts w:hint="default"/>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CF&#10;ctq9twEAAFQDAAAOAAAAAAAAAAEAIAAAAB4BAABkcnMvZTJvRG9jLnhtbFBLBQYAAAAABgAGAFkB&#10;AABH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rPr>
        <w:rFonts w:hint="eastAsia"/>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0567B8"/>
    <w:rsid w:val="00AA709B"/>
    <w:rsid w:val="0265787C"/>
    <w:rsid w:val="0A161C2C"/>
    <w:rsid w:val="0C9C373F"/>
    <w:rsid w:val="0F84061B"/>
    <w:rsid w:val="0FB41753"/>
    <w:rsid w:val="1F1C3919"/>
    <w:rsid w:val="27062C84"/>
    <w:rsid w:val="2B65000A"/>
    <w:rsid w:val="2D277FB9"/>
    <w:rsid w:val="406E4841"/>
    <w:rsid w:val="4101386B"/>
    <w:rsid w:val="426425C5"/>
    <w:rsid w:val="47BF18E0"/>
    <w:rsid w:val="47D8619B"/>
    <w:rsid w:val="51AB2CEA"/>
    <w:rsid w:val="57272458"/>
    <w:rsid w:val="57503CCA"/>
    <w:rsid w:val="58FC694F"/>
    <w:rsid w:val="69C42F6D"/>
    <w:rsid w:val="6AAE7BFA"/>
    <w:rsid w:val="6D0B31AB"/>
    <w:rsid w:val="6EDA396D"/>
    <w:rsid w:val="74300CEB"/>
    <w:rsid w:val="770567B8"/>
    <w:rsid w:val="772F0F43"/>
    <w:rsid w:val="7A4430A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Times New Roman" w:hAnsi="Times New Roman" w:eastAsia="宋体" w:cstheme="minorBidi"/>
      <w:kern w:val="2"/>
      <w:sz w:val="21"/>
      <w:szCs w:val="22"/>
      <w:lang w:val="en-US" w:eastAsia="zh-CN"/>
    </w:rPr>
  </w:style>
  <w:style w:type="character" w:default="1" w:styleId="5">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rFonts w:hint="eastAsia"/>
      <w:sz w:val="18"/>
    </w:rPr>
  </w:style>
  <w:style w:type="paragraph" w:styleId="4">
    <w:name w:val="header"/>
    <w:basedOn w:val="1"/>
    <w:qFormat/>
    <w:uiPriority w:val="0"/>
    <w:pPr>
      <w:tabs>
        <w:tab w:val="center" w:pos="4153"/>
        <w:tab w:val="right" w:pos="8306"/>
      </w:tabs>
      <w:snapToGrid w:val="0"/>
    </w:pPr>
    <w:rPr>
      <w:rFonts w:hint="eastAsia"/>
      <w:sz w:val="18"/>
    </w:rPr>
  </w:style>
  <w:style w:type="character" w:styleId="6">
    <w:name w:val="page number"/>
    <w:basedOn w:val="5"/>
    <w:qFormat/>
    <w:uiPriority w:val="0"/>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9">
    <w:name w:val="p15"/>
    <w:basedOn w:val="1"/>
    <w:qFormat/>
    <w:uiPriority w:val="0"/>
    <w:pPr>
      <w:widowControl/>
    </w:pPr>
    <w:rPr>
      <w:rFonts w:ascii="Times New Roman" w:hAnsi="Times New Roman" w:eastAsia="宋体" w:cs="Times New Roman"/>
      <w:kern w:val="0"/>
      <w:szCs w:val="21"/>
    </w:rPr>
  </w:style>
  <w:style w:type="character" w:customStyle="1" w:styleId="10">
    <w:name w:val="fontstyle01"/>
    <w:basedOn w:val="5"/>
    <w:qFormat/>
    <w:uiPriority w:val="0"/>
    <w:rPr>
      <w:rFonts w:ascii="仿宋_GB2312" w:eastAsia="仿宋_GB2312" w:cs="仿宋_GB2312"/>
      <w:color w:val="000000"/>
      <w:sz w:val="30"/>
      <w:szCs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2017-03-15T07:46:00Z</dcterms:created>
  <dc:creator>习志鹏</dc:creator>
  <cp:lastModifiedBy>YangYang</cp:lastModifiedBy>
  <dcterms:modified xsi:type="dcterms:W3CDTF">2017-03-30T01:36:30Z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